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EF44BF" w14:textId="3599F45B" w:rsidR="00301460" w:rsidRDefault="00301460" w:rsidP="00301460"/>
    <w:p w14:paraId="3E2D365E" w14:textId="77777777" w:rsidR="00301460" w:rsidRDefault="00301460" w:rsidP="00916606">
      <w:pPr>
        <w:ind w:firstLine="450"/>
        <w:rPr>
          <w:rFonts w:ascii="Calibri" w:hAnsi="Calibri"/>
          <w:b/>
          <w:sz w:val="32"/>
          <w:szCs w:val="32"/>
        </w:rPr>
      </w:pPr>
      <w:r>
        <w:rPr>
          <w:rFonts w:ascii="Calibri" w:hAnsi="Calibri"/>
          <w:b/>
          <w:sz w:val="32"/>
          <w:szCs w:val="32"/>
        </w:rPr>
        <w:t>TITLE</w:t>
      </w:r>
    </w:p>
    <w:p w14:paraId="678B8BF6" w14:textId="77777777" w:rsidR="00301460" w:rsidRPr="00D0013C" w:rsidRDefault="00301460" w:rsidP="00916606">
      <w:pPr>
        <w:ind w:firstLine="450"/>
        <w:rPr>
          <w:rFonts w:ascii="Calibri" w:hAnsi="Calibri"/>
          <w:sz w:val="28"/>
          <w:szCs w:val="28"/>
        </w:rPr>
      </w:pPr>
      <w:r>
        <w:rPr>
          <w:rFonts w:ascii="Calibri" w:hAnsi="Calibri"/>
          <w:sz w:val="28"/>
          <w:szCs w:val="28"/>
        </w:rPr>
        <w:t>Entropy, Microstates, and Probability</w:t>
      </w:r>
    </w:p>
    <w:p w14:paraId="6F855812" w14:textId="77777777" w:rsidR="00301460" w:rsidRDefault="00301460" w:rsidP="00916606">
      <w:pPr>
        <w:ind w:firstLine="450"/>
        <w:rPr>
          <w:rFonts w:ascii="Calibri" w:hAnsi="Calibri"/>
          <w:b/>
          <w:sz w:val="32"/>
          <w:szCs w:val="32"/>
        </w:rPr>
      </w:pPr>
    </w:p>
    <w:p w14:paraId="6990A678" w14:textId="77777777" w:rsidR="00301460" w:rsidRDefault="00301460" w:rsidP="00916606">
      <w:pPr>
        <w:ind w:firstLine="450"/>
        <w:rPr>
          <w:rFonts w:ascii="Calibri" w:hAnsi="Calibri"/>
          <w:b/>
          <w:sz w:val="32"/>
          <w:szCs w:val="32"/>
        </w:rPr>
      </w:pPr>
      <w:r>
        <w:rPr>
          <w:rFonts w:ascii="Calibri" w:hAnsi="Calibri"/>
          <w:b/>
          <w:sz w:val="32"/>
          <w:szCs w:val="32"/>
        </w:rPr>
        <w:t xml:space="preserve">AUTHORS </w:t>
      </w:r>
    </w:p>
    <w:p w14:paraId="6D4F3437" w14:textId="77777777" w:rsidR="00301460" w:rsidRPr="00D0013C" w:rsidRDefault="00301460" w:rsidP="00916606">
      <w:pPr>
        <w:ind w:firstLine="450"/>
        <w:rPr>
          <w:rFonts w:ascii="Calibri" w:hAnsi="Calibri"/>
          <w:sz w:val="28"/>
          <w:szCs w:val="28"/>
        </w:rPr>
      </w:pPr>
      <w:r>
        <w:rPr>
          <w:rFonts w:ascii="Calibri" w:hAnsi="Calibri"/>
          <w:sz w:val="28"/>
          <w:szCs w:val="28"/>
        </w:rPr>
        <w:t>Ted Clark</w:t>
      </w:r>
      <w:r w:rsidRPr="00D0013C">
        <w:rPr>
          <w:rFonts w:ascii="Calibri" w:hAnsi="Calibri"/>
          <w:sz w:val="28"/>
          <w:szCs w:val="28"/>
        </w:rPr>
        <w:t xml:space="preserve"> (</w:t>
      </w:r>
      <w:r>
        <w:rPr>
          <w:rFonts w:ascii="Calibri" w:hAnsi="Calibri"/>
          <w:sz w:val="28"/>
          <w:szCs w:val="28"/>
        </w:rPr>
        <w:t>The Ohio State University</w:t>
      </w:r>
      <w:r w:rsidRPr="00D0013C">
        <w:rPr>
          <w:rFonts w:ascii="Calibri" w:hAnsi="Calibri"/>
          <w:sz w:val="28"/>
          <w:szCs w:val="28"/>
        </w:rPr>
        <w:t>)</w:t>
      </w:r>
    </w:p>
    <w:p w14:paraId="12930E08" w14:textId="77777777" w:rsidR="00301460" w:rsidRPr="00D0013C" w:rsidRDefault="00301460" w:rsidP="00916606">
      <w:pPr>
        <w:ind w:firstLine="450"/>
        <w:rPr>
          <w:rFonts w:ascii="Calibri" w:hAnsi="Calibri"/>
          <w:sz w:val="28"/>
          <w:szCs w:val="28"/>
        </w:rPr>
      </w:pPr>
      <w:r>
        <w:rPr>
          <w:rFonts w:ascii="Calibri" w:hAnsi="Calibri"/>
          <w:sz w:val="28"/>
          <w:szCs w:val="28"/>
        </w:rPr>
        <w:t>Julia Chamberlain</w:t>
      </w:r>
      <w:r w:rsidRPr="00D0013C">
        <w:rPr>
          <w:rFonts w:ascii="Calibri" w:hAnsi="Calibri"/>
          <w:sz w:val="28"/>
          <w:szCs w:val="28"/>
        </w:rPr>
        <w:t xml:space="preserve"> (University of Colorado Boulder)</w:t>
      </w:r>
    </w:p>
    <w:p w14:paraId="2E8DF9B0" w14:textId="77777777" w:rsidR="00301460" w:rsidRDefault="00301460" w:rsidP="00916606">
      <w:pPr>
        <w:ind w:firstLine="450"/>
        <w:rPr>
          <w:rFonts w:ascii="Calibri" w:hAnsi="Calibri"/>
          <w:sz w:val="32"/>
          <w:szCs w:val="32"/>
        </w:rPr>
      </w:pPr>
    </w:p>
    <w:p w14:paraId="17B091EF" w14:textId="77777777" w:rsidR="00301460" w:rsidRPr="00D0013C" w:rsidRDefault="00301460" w:rsidP="00916606">
      <w:pPr>
        <w:ind w:firstLine="450"/>
        <w:rPr>
          <w:rFonts w:ascii="Calibri" w:hAnsi="Calibri"/>
          <w:b/>
          <w:sz w:val="32"/>
          <w:szCs w:val="32"/>
        </w:rPr>
      </w:pPr>
      <w:r>
        <w:rPr>
          <w:rFonts w:ascii="Calibri" w:hAnsi="Calibri"/>
          <w:b/>
          <w:sz w:val="32"/>
          <w:szCs w:val="32"/>
        </w:rPr>
        <w:t>COURSE</w:t>
      </w:r>
    </w:p>
    <w:p w14:paraId="6BDB2BC1" w14:textId="77777777" w:rsidR="00301460" w:rsidRPr="00D0013C" w:rsidRDefault="00301460" w:rsidP="00916606">
      <w:pPr>
        <w:ind w:firstLine="450"/>
        <w:rPr>
          <w:rFonts w:ascii="Calibri" w:hAnsi="Calibri"/>
          <w:sz w:val="28"/>
          <w:szCs w:val="28"/>
        </w:rPr>
      </w:pPr>
      <w:r w:rsidRPr="00D0013C">
        <w:rPr>
          <w:rFonts w:ascii="Calibri" w:hAnsi="Calibri"/>
          <w:sz w:val="28"/>
          <w:szCs w:val="28"/>
        </w:rPr>
        <w:t>General Chemistry I</w:t>
      </w:r>
      <w:r>
        <w:rPr>
          <w:rFonts w:ascii="Calibri" w:hAnsi="Calibri"/>
          <w:sz w:val="28"/>
          <w:szCs w:val="28"/>
        </w:rPr>
        <w:t>I</w:t>
      </w:r>
    </w:p>
    <w:p w14:paraId="522A7237" w14:textId="77777777" w:rsidR="00301460" w:rsidRDefault="00301460" w:rsidP="00916606">
      <w:pPr>
        <w:ind w:firstLine="450"/>
        <w:rPr>
          <w:rFonts w:ascii="Calibri" w:hAnsi="Calibri"/>
          <w:sz w:val="32"/>
          <w:szCs w:val="32"/>
        </w:rPr>
      </w:pPr>
    </w:p>
    <w:p w14:paraId="416C7F6C" w14:textId="77777777" w:rsidR="00301460" w:rsidRDefault="00301460" w:rsidP="00916606">
      <w:pPr>
        <w:ind w:firstLine="450"/>
        <w:rPr>
          <w:rFonts w:ascii="Calibri" w:hAnsi="Calibri"/>
          <w:b/>
          <w:sz w:val="32"/>
          <w:szCs w:val="32"/>
        </w:rPr>
      </w:pPr>
      <w:r>
        <w:rPr>
          <w:rFonts w:ascii="Calibri" w:hAnsi="Calibri"/>
          <w:b/>
          <w:sz w:val="32"/>
          <w:szCs w:val="32"/>
        </w:rPr>
        <w:t>TYPE</w:t>
      </w:r>
    </w:p>
    <w:p w14:paraId="7A612B19" w14:textId="77777777" w:rsidR="00301460" w:rsidRPr="00D0013C" w:rsidRDefault="00301460" w:rsidP="00916606">
      <w:pPr>
        <w:ind w:firstLine="450"/>
        <w:rPr>
          <w:rFonts w:ascii="Calibri" w:hAnsi="Calibri"/>
          <w:sz w:val="28"/>
          <w:szCs w:val="28"/>
        </w:rPr>
      </w:pPr>
      <w:r>
        <w:rPr>
          <w:rFonts w:ascii="Calibri" w:hAnsi="Calibri"/>
          <w:sz w:val="28"/>
          <w:szCs w:val="28"/>
        </w:rPr>
        <w:t>Interactive Lecture Demonstration Guide</w:t>
      </w:r>
    </w:p>
    <w:p w14:paraId="7CBF4841" w14:textId="77777777" w:rsidR="00301460" w:rsidRDefault="00301460" w:rsidP="00916606">
      <w:pPr>
        <w:ind w:firstLine="450"/>
        <w:rPr>
          <w:rFonts w:ascii="Calibri" w:hAnsi="Calibri"/>
          <w:sz w:val="32"/>
          <w:szCs w:val="32"/>
        </w:rPr>
      </w:pPr>
    </w:p>
    <w:p w14:paraId="5143CE4A" w14:textId="77777777" w:rsidR="00301460" w:rsidRPr="00D0013C" w:rsidRDefault="00301460" w:rsidP="00916606">
      <w:pPr>
        <w:ind w:firstLine="450"/>
        <w:rPr>
          <w:rFonts w:ascii="Calibri" w:hAnsi="Calibri"/>
          <w:b/>
          <w:sz w:val="32"/>
          <w:szCs w:val="32"/>
        </w:rPr>
      </w:pPr>
      <w:r w:rsidRPr="00D0013C">
        <w:rPr>
          <w:rFonts w:ascii="Calibri" w:hAnsi="Calibri"/>
          <w:b/>
          <w:sz w:val="32"/>
          <w:szCs w:val="32"/>
        </w:rPr>
        <w:t>TEACHING MODE</w:t>
      </w:r>
    </w:p>
    <w:p w14:paraId="314DBD48" w14:textId="77777777" w:rsidR="00301460" w:rsidRPr="00D0013C" w:rsidRDefault="00301460" w:rsidP="00916606">
      <w:pPr>
        <w:ind w:firstLine="450"/>
        <w:rPr>
          <w:rFonts w:ascii="Calibri" w:hAnsi="Calibri"/>
          <w:sz w:val="28"/>
          <w:szCs w:val="28"/>
        </w:rPr>
      </w:pPr>
      <w:r>
        <w:rPr>
          <w:rFonts w:ascii="Calibri" w:hAnsi="Calibri"/>
          <w:sz w:val="28"/>
          <w:szCs w:val="28"/>
        </w:rPr>
        <w:t>Lecture Demonstration</w:t>
      </w:r>
    </w:p>
    <w:p w14:paraId="0E63492D" w14:textId="77777777" w:rsidR="00301460" w:rsidRDefault="00301460" w:rsidP="00916606">
      <w:pPr>
        <w:ind w:firstLine="450"/>
        <w:rPr>
          <w:rFonts w:ascii="Calibri" w:hAnsi="Calibri"/>
          <w:sz w:val="32"/>
          <w:szCs w:val="32"/>
        </w:rPr>
      </w:pPr>
    </w:p>
    <w:p w14:paraId="11FB0AE8" w14:textId="77777777" w:rsidR="00301460" w:rsidRPr="00D0013C" w:rsidRDefault="00301460" w:rsidP="00916606">
      <w:pPr>
        <w:ind w:firstLine="450"/>
        <w:rPr>
          <w:rFonts w:ascii="Calibri" w:hAnsi="Calibri"/>
          <w:b/>
          <w:sz w:val="32"/>
          <w:szCs w:val="32"/>
        </w:rPr>
      </w:pPr>
      <w:r w:rsidRPr="00D0013C">
        <w:rPr>
          <w:rFonts w:ascii="Calibri" w:hAnsi="Calibri"/>
          <w:b/>
          <w:sz w:val="32"/>
          <w:szCs w:val="32"/>
        </w:rPr>
        <w:t>LEARNING GOALS</w:t>
      </w:r>
    </w:p>
    <w:p w14:paraId="66DE2BAA" w14:textId="77777777" w:rsidR="00301460" w:rsidRDefault="00301460" w:rsidP="00916606">
      <w:pPr>
        <w:pStyle w:val="PHETBulletBody"/>
        <w:numPr>
          <w:ilvl w:val="0"/>
          <w:numId w:val="0"/>
        </w:numPr>
        <w:ind w:firstLine="450"/>
        <w:rPr>
          <w:rFonts w:ascii="Calibri" w:hAnsi="Calibri"/>
          <w:sz w:val="28"/>
          <w:szCs w:val="28"/>
        </w:rPr>
      </w:pPr>
      <w:r>
        <w:rPr>
          <w:rFonts w:ascii="Calibri" w:hAnsi="Calibri"/>
          <w:sz w:val="28"/>
          <w:szCs w:val="28"/>
        </w:rPr>
        <w:t xml:space="preserve">Students will be able to: </w:t>
      </w:r>
    </w:p>
    <w:p w14:paraId="743DFA3D" w14:textId="77777777" w:rsidR="00301460" w:rsidRPr="00354F8F" w:rsidRDefault="00301460" w:rsidP="00916606">
      <w:pPr>
        <w:pStyle w:val="PHETBulletBody"/>
        <w:numPr>
          <w:ilvl w:val="0"/>
          <w:numId w:val="9"/>
        </w:numPr>
        <w:ind w:hanging="270"/>
        <w:jc w:val="both"/>
        <w:rPr>
          <w:rFonts w:ascii="Calibri" w:hAnsi="Calibri"/>
          <w:sz w:val="28"/>
          <w:szCs w:val="28"/>
        </w:rPr>
      </w:pPr>
      <w:r w:rsidRPr="00354F8F">
        <w:rPr>
          <w:rFonts w:ascii="Calibri" w:hAnsi="Calibri"/>
          <w:sz w:val="28"/>
          <w:szCs w:val="28"/>
        </w:rPr>
        <w:t>Explain a spontaneous process – such as air rushing in to an evacuated chamber – using particle motion at the molecular level.</w:t>
      </w:r>
    </w:p>
    <w:p w14:paraId="08B5DC11" w14:textId="77777777" w:rsidR="00301460" w:rsidRPr="00354F8F" w:rsidRDefault="00301460" w:rsidP="00916606">
      <w:pPr>
        <w:pStyle w:val="PHETBulletBody"/>
        <w:numPr>
          <w:ilvl w:val="0"/>
          <w:numId w:val="9"/>
        </w:numPr>
        <w:ind w:hanging="270"/>
        <w:jc w:val="both"/>
        <w:rPr>
          <w:rFonts w:ascii="Calibri" w:hAnsi="Calibri"/>
          <w:sz w:val="28"/>
          <w:szCs w:val="28"/>
        </w:rPr>
      </w:pPr>
      <w:r w:rsidRPr="00354F8F">
        <w:rPr>
          <w:rFonts w:ascii="Calibri" w:hAnsi="Calibri"/>
          <w:sz w:val="28"/>
          <w:szCs w:val="28"/>
        </w:rPr>
        <w:t>Distinguish between spontaneous and non-spontaneous processes, and connect these to a probabilistic description of matter.</w:t>
      </w:r>
    </w:p>
    <w:p w14:paraId="43C82CDA" w14:textId="77777777" w:rsidR="00301460" w:rsidRPr="00354F8F" w:rsidRDefault="00301460" w:rsidP="00916606">
      <w:pPr>
        <w:pStyle w:val="PHETBulletBody"/>
        <w:numPr>
          <w:ilvl w:val="0"/>
          <w:numId w:val="9"/>
        </w:numPr>
        <w:ind w:left="0" w:firstLine="450"/>
        <w:jc w:val="both"/>
        <w:rPr>
          <w:rFonts w:ascii="Calibri" w:hAnsi="Calibri"/>
          <w:sz w:val="28"/>
          <w:szCs w:val="28"/>
        </w:rPr>
      </w:pPr>
      <w:r w:rsidRPr="00354F8F">
        <w:rPr>
          <w:rFonts w:ascii="Calibri" w:hAnsi="Calibri"/>
          <w:sz w:val="28"/>
          <w:szCs w:val="28"/>
        </w:rPr>
        <w:t xml:space="preserve">Explain how a large number of microstates can produce the same macro-state. </w:t>
      </w:r>
    </w:p>
    <w:p w14:paraId="716D7545" w14:textId="77777777" w:rsidR="00301460" w:rsidRDefault="00301460" w:rsidP="00916606">
      <w:pPr>
        <w:pStyle w:val="PHETBulletBody"/>
        <w:numPr>
          <w:ilvl w:val="0"/>
          <w:numId w:val="9"/>
        </w:numPr>
        <w:ind w:left="0" w:firstLine="450"/>
        <w:jc w:val="both"/>
        <w:rPr>
          <w:rFonts w:ascii="Calibri" w:hAnsi="Calibri"/>
          <w:sz w:val="28"/>
          <w:szCs w:val="28"/>
        </w:rPr>
      </w:pPr>
      <w:r w:rsidRPr="00354F8F">
        <w:rPr>
          <w:rFonts w:ascii="Calibri" w:hAnsi="Calibri"/>
          <w:sz w:val="28"/>
          <w:szCs w:val="28"/>
        </w:rPr>
        <w:t>Perform calculations involving probability.</w:t>
      </w:r>
    </w:p>
    <w:p w14:paraId="0F38BC40" w14:textId="77777777" w:rsidR="00301460" w:rsidRDefault="00301460" w:rsidP="00916606">
      <w:pPr>
        <w:pStyle w:val="PHETBulletBody"/>
        <w:numPr>
          <w:ilvl w:val="0"/>
          <w:numId w:val="9"/>
        </w:numPr>
        <w:ind w:left="0" w:firstLine="450"/>
        <w:jc w:val="both"/>
        <w:rPr>
          <w:rFonts w:ascii="Calibri" w:hAnsi="Calibri"/>
          <w:sz w:val="28"/>
          <w:szCs w:val="28"/>
        </w:rPr>
      </w:pPr>
      <w:r w:rsidRPr="00354F8F">
        <w:rPr>
          <w:rFonts w:ascii="Calibri" w:hAnsi="Calibri"/>
          <w:sz w:val="28"/>
          <w:szCs w:val="28"/>
        </w:rPr>
        <w:t>Use particle motion and probability to explain heat transfer.</w:t>
      </w:r>
    </w:p>
    <w:p w14:paraId="0E9A912F" w14:textId="77777777" w:rsidR="00301460" w:rsidRPr="00354F8F" w:rsidRDefault="00301460" w:rsidP="00916606">
      <w:pPr>
        <w:pStyle w:val="PHETBulletBody"/>
        <w:numPr>
          <w:ilvl w:val="0"/>
          <w:numId w:val="0"/>
        </w:numPr>
        <w:ind w:firstLine="450"/>
        <w:jc w:val="both"/>
        <w:rPr>
          <w:rFonts w:ascii="Calibri" w:hAnsi="Calibri"/>
          <w:sz w:val="28"/>
          <w:szCs w:val="28"/>
        </w:rPr>
      </w:pPr>
    </w:p>
    <w:p w14:paraId="5AC078D0" w14:textId="77777777" w:rsidR="00301460" w:rsidRPr="00E82322" w:rsidRDefault="00301460" w:rsidP="00916606">
      <w:pPr>
        <w:pStyle w:val="PHETBulletBody"/>
        <w:numPr>
          <w:ilvl w:val="0"/>
          <w:numId w:val="0"/>
        </w:numPr>
        <w:ind w:firstLine="450"/>
        <w:jc w:val="both"/>
        <w:rPr>
          <w:rFonts w:ascii="Calibri" w:hAnsi="Calibri"/>
          <w:b/>
          <w:sz w:val="28"/>
          <w:szCs w:val="28"/>
        </w:rPr>
      </w:pPr>
      <w:r>
        <w:rPr>
          <w:rFonts w:ascii="Calibri" w:hAnsi="Calibri"/>
          <w:b/>
          <w:sz w:val="28"/>
          <w:szCs w:val="28"/>
        </w:rPr>
        <w:t>COPYRIGHT</w:t>
      </w:r>
    </w:p>
    <w:p w14:paraId="24E79B01" w14:textId="77777777" w:rsidR="00301460" w:rsidRPr="0062765B" w:rsidRDefault="00301460" w:rsidP="00916606">
      <w:pPr>
        <w:pStyle w:val="PHETBulletBody"/>
        <w:numPr>
          <w:ilvl w:val="0"/>
          <w:numId w:val="0"/>
        </w:numPr>
        <w:ind w:left="450"/>
        <w:jc w:val="both"/>
        <w:rPr>
          <w:rFonts w:ascii="Calibri" w:hAnsi="Calibri"/>
          <w:sz w:val="27"/>
          <w:szCs w:val="27"/>
        </w:rPr>
      </w:pPr>
      <w:r w:rsidRPr="0062765B">
        <w:rPr>
          <w:rFonts w:ascii="Calibri" w:hAnsi="Calibri"/>
          <w:sz w:val="27"/>
          <w:szCs w:val="27"/>
        </w:rPr>
        <w:t xml:space="preserve">This work is licensed under a </w:t>
      </w:r>
      <w:hyperlink r:id="rId9" w:history="1">
        <w:r w:rsidRPr="0062765B">
          <w:rPr>
            <w:rStyle w:val="Hyperlink"/>
            <w:rFonts w:ascii="Calibri" w:hAnsi="Calibri"/>
            <w:sz w:val="27"/>
            <w:szCs w:val="27"/>
          </w:rPr>
          <w:t>Creative Commons Attribution 4.0 International License</w:t>
        </w:r>
      </w:hyperlink>
      <w:r w:rsidRPr="0062765B">
        <w:rPr>
          <w:rFonts w:ascii="Calibri" w:hAnsi="Calibri"/>
          <w:sz w:val="27"/>
          <w:szCs w:val="27"/>
        </w:rPr>
        <w:t>.</w:t>
      </w:r>
    </w:p>
    <w:p w14:paraId="64324E3A" w14:textId="77777777" w:rsidR="00301460" w:rsidRPr="0062765B" w:rsidRDefault="00301460" w:rsidP="00916606">
      <w:pPr>
        <w:pStyle w:val="PHETBulletBody"/>
        <w:numPr>
          <w:ilvl w:val="0"/>
          <w:numId w:val="0"/>
        </w:numPr>
        <w:ind w:left="450"/>
        <w:jc w:val="both"/>
        <w:rPr>
          <w:rFonts w:ascii="Calibri" w:hAnsi="Calibri"/>
          <w:sz w:val="27"/>
          <w:szCs w:val="27"/>
        </w:rPr>
      </w:pPr>
      <w:r w:rsidRPr="0062765B">
        <w:rPr>
          <w:rFonts w:ascii="Calibri" w:hAnsi="Calibri"/>
          <w:sz w:val="27"/>
          <w:szCs w:val="27"/>
        </w:rPr>
        <w:t>This license allows users to share and adapt the materials, as long as appropriate attribution is given (with a link to the original), an indication if changes have been made, and an indication of the original licensing.</w:t>
      </w:r>
    </w:p>
    <w:p w14:paraId="06680CF6" w14:textId="77777777" w:rsidR="00301460" w:rsidRDefault="00301460" w:rsidP="00916606">
      <w:pPr>
        <w:ind w:firstLine="450"/>
        <w:rPr>
          <w:rFonts w:asciiTheme="majorHAnsi" w:hAnsiTheme="majorHAnsi"/>
          <w:b/>
          <w:sz w:val="32"/>
          <w:szCs w:val="32"/>
        </w:rPr>
      </w:pPr>
    </w:p>
    <w:p w14:paraId="78EFF13E" w14:textId="77777777" w:rsidR="00301460" w:rsidRDefault="00301460">
      <w:pPr>
        <w:rPr>
          <w:rFonts w:asciiTheme="majorHAnsi" w:hAnsiTheme="majorHAnsi"/>
          <w:b/>
          <w:sz w:val="32"/>
          <w:szCs w:val="32"/>
        </w:rPr>
      </w:pPr>
    </w:p>
    <w:p w14:paraId="2806C020" w14:textId="77777777" w:rsidR="00301460" w:rsidRDefault="00301460">
      <w:pPr>
        <w:rPr>
          <w:rFonts w:asciiTheme="majorHAnsi" w:hAnsiTheme="majorHAnsi"/>
          <w:b/>
          <w:sz w:val="32"/>
          <w:szCs w:val="32"/>
        </w:rPr>
      </w:pPr>
    </w:p>
    <w:p w14:paraId="260554FB" w14:textId="77777777" w:rsidR="00301460" w:rsidRDefault="00301460">
      <w:pPr>
        <w:rPr>
          <w:rFonts w:asciiTheme="majorHAnsi" w:hAnsiTheme="majorHAnsi"/>
          <w:b/>
          <w:sz w:val="32"/>
          <w:szCs w:val="32"/>
        </w:rPr>
      </w:pPr>
    </w:p>
    <w:p w14:paraId="51B7866E" w14:textId="5A8A4AE5" w:rsidR="009E3503" w:rsidRPr="00E128BA" w:rsidRDefault="00E128BA" w:rsidP="005A182B">
      <w:pPr>
        <w:tabs>
          <w:tab w:val="center" w:pos="270"/>
          <w:tab w:val="center" w:pos="450"/>
          <w:tab w:val="center" w:pos="720"/>
        </w:tabs>
        <w:ind w:left="446"/>
        <w:rPr>
          <w:rFonts w:asciiTheme="majorHAnsi" w:hAnsiTheme="majorHAnsi"/>
          <w:b/>
          <w:sz w:val="32"/>
          <w:szCs w:val="32"/>
        </w:rPr>
      </w:pPr>
      <w:r w:rsidRPr="00E128BA">
        <w:rPr>
          <w:rFonts w:asciiTheme="majorHAnsi" w:hAnsiTheme="majorHAnsi"/>
          <w:b/>
          <w:sz w:val="32"/>
          <w:szCs w:val="32"/>
        </w:rPr>
        <w:lastRenderedPageBreak/>
        <w:t>ENTROPY, MICROSTATES, AND PROBABILITY</w:t>
      </w:r>
    </w:p>
    <w:p w14:paraId="08AD108B" w14:textId="77777777" w:rsidR="009E3503" w:rsidRPr="00E128BA" w:rsidRDefault="009E3503" w:rsidP="005A182B">
      <w:pPr>
        <w:tabs>
          <w:tab w:val="center" w:pos="270"/>
          <w:tab w:val="center" w:pos="450"/>
          <w:tab w:val="center" w:pos="720"/>
        </w:tabs>
        <w:ind w:left="446"/>
        <w:rPr>
          <w:rFonts w:asciiTheme="majorHAnsi" w:hAnsiTheme="majorHAnsi"/>
        </w:rPr>
      </w:pPr>
    </w:p>
    <w:p w14:paraId="47248480" w14:textId="1DC189CD" w:rsidR="002F53E1" w:rsidRPr="0062765B" w:rsidRDefault="002F53E1" w:rsidP="005A182B">
      <w:pPr>
        <w:tabs>
          <w:tab w:val="center" w:pos="270"/>
          <w:tab w:val="center" w:pos="450"/>
          <w:tab w:val="center" w:pos="720"/>
        </w:tabs>
        <w:ind w:left="446"/>
        <w:rPr>
          <w:rFonts w:asciiTheme="majorHAnsi" w:hAnsiTheme="majorHAnsi"/>
          <w:i/>
        </w:rPr>
      </w:pPr>
      <w:r w:rsidRPr="0062765B">
        <w:rPr>
          <w:rFonts w:asciiTheme="majorHAnsi" w:hAnsiTheme="majorHAnsi"/>
          <w:i/>
        </w:rPr>
        <w:t xml:space="preserve">Expansion of a gas at the molecular level </w:t>
      </w:r>
      <w:r w:rsidR="003D5D8C" w:rsidRPr="0062765B">
        <w:rPr>
          <w:rFonts w:asciiTheme="majorHAnsi" w:hAnsiTheme="majorHAnsi"/>
          <w:i/>
        </w:rPr>
        <w:t xml:space="preserve">is </w:t>
      </w:r>
      <w:r w:rsidRPr="0062765B">
        <w:rPr>
          <w:rFonts w:asciiTheme="majorHAnsi" w:hAnsiTheme="majorHAnsi"/>
          <w:i/>
        </w:rPr>
        <w:t>explained in terms of particle motion and probability.</w:t>
      </w:r>
    </w:p>
    <w:p w14:paraId="5EFC0FD2" w14:textId="77777777" w:rsidR="002F53E1" w:rsidRDefault="002F53E1" w:rsidP="005A182B">
      <w:pPr>
        <w:tabs>
          <w:tab w:val="center" w:pos="270"/>
          <w:tab w:val="center" w:pos="450"/>
          <w:tab w:val="center" w:pos="720"/>
        </w:tabs>
        <w:ind w:left="446"/>
      </w:pPr>
    </w:p>
    <w:p w14:paraId="4F59F7A5" w14:textId="42DC935F" w:rsidR="00E128BA" w:rsidRPr="00E128BA" w:rsidRDefault="00E128BA" w:rsidP="005A182B">
      <w:pPr>
        <w:tabs>
          <w:tab w:val="center" w:pos="270"/>
          <w:tab w:val="center" w:pos="450"/>
          <w:tab w:val="center" w:pos="720"/>
        </w:tabs>
        <w:ind w:left="446"/>
        <w:rPr>
          <w:sz w:val="28"/>
          <w:szCs w:val="28"/>
        </w:rPr>
      </w:pPr>
      <w:r w:rsidRPr="00E128BA">
        <w:rPr>
          <w:rFonts w:asciiTheme="majorHAnsi" w:hAnsiTheme="majorHAnsi"/>
          <w:b/>
          <w:sz w:val="28"/>
          <w:szCs w:val="28"/>
        </w:rPr>
        <w:t>PLACEMENT IN COURSE:</w:t>
      </w:r>
    </w:p>
    <w:p w14:paraId="00D36EFF" w14:textId="497E43B1" w:rsidR="009E3503" w:rsidRDefault="009E3503" w:rsidP="005A182B">
      <w:pPr>
        <w:tabs>
          <w:tab w:val="center" w:pos="270"/>
          <w:tab w:val="center" w:pos="450"/>
          <w:tab w:val="center" w:pos="720"/>
        </w:tabs>
        <w:ind w:left="446"/>
      </w:pPr>
      <w:proofErr w:type="gramStart"/>
      <w:r>
        <w:t>The 2</w:t>
      </w:r>
      <w:r w:rsidRPr="00A67E19">
        <w:rPr>
          <w:vertAlign w:val="superscript"/>
        </w:rPr>
        <w:t>nd</w:t>
      </w:r>
      <w:r>
        <w:t xml:space="preserve"> semester of General Chemistry.</w:t>
      </w:r>
      <w:proofErr w:type="gramEnd"/>
      <w:r>
        <w:t xml:space="preserve">   </w:t>
      </w:r>
    </w:p>
    <w:p w14:paraId="1AAA4B9E" w14:textId="77777777" w:rsidR="009E3503" w:rsidRDefault="009E3503" w:rsidP="005A182B">
      <w:pPr>
        <w:tabs>
          <w:tab w:val="center" w:pos="270"/>
          <w:tab w:val="center" w:pos="450"/>
          <w:tab w:val="center" w:pos="720"/>
        </w:tabs>
        <w:ind w:left="446"/>
      </w:pPr>
    </w:p>
    <w:p w14:paraId="1223BCBA" w14:textId="2226BAE4" w:rsidR="009E3503" w:rsidRPr="00E128BA" w:rsidRDefault="00E128BA" w:rsidP="005A182B">
      <w:pPr>
        <w:tabs>
          <w:tab w:val="center" w:pos="270"/>
          <w:tab w:val="center" w:pos="450"/>
          <w:tab w:val="center" w:pos="720"/>
        </w:tabs>
        <w:ind w:left="446"/>
        <w:rPr>
          <w:rFonts w:asciiTheme="majorHAnsi" w:hAnsiTheme="majorHAnsi"/>
          <w:b/>
          <w:sz w:val="28"/>
          <w:szCs w:val="28"/>
        </w:rPr>
      </w:pPr>
      <w:r>
        <w:rPr>
          <w:rFonts w:asciiTheme="majorHAnsi" w:hAnsiTheme="majorHAnsi"/>
          <w:b/>
          <w:sz w:val="28"/>
          <w:szCs w:val="28"/>
        </w:rPr>
        <w:t>PRIOR KNOWLEDGE:</w:t>
      </w:r>
    </w:p>
    <w:p w14:paraId="000BD443" w14:textId="7B4DC23E" w:rsidR="009E3503" w:rsidRDefault="00282736" w:rsidP="005A182B">
      <w:pPr>
        <w:pStyle w:val="ListParagraph"/>
        <w:numPr>
          <w:ilvl w:val="0"/>
          <w:numId w:val="8"/>
        </w:numPr>
        <w:ind w:left="446"/>
      </w:pPr>
      <w:r>
        <w:t>Kinetic molecular theory of gases.</w:t>
      </w:r>
    </w:p>
    <w:p w14:paraId="5C51F2BF" w14:textId="77777777" w:rsidR="009E3503" w:rsidRDefault="009E3503" w:rsidP="005A182B">
      <w:pPr>
        <w:rPr>
          <w:b/>
        </w:rPr>
      </w:pPr>
    </w:p>
    <w:p w14:paraId="481344A2" w14:textId="43A33105" w:rsidR="004C5517" w:rsidRPr="00E128BA" w:rsidRDefault="00E128BA" w:rsidP="005A182B">
      <w:pPr>
        <w:ind w:left="450"/>
        <w:rPr>
          <w:rFonts w:asciiTheme="majorHAnsi" w:hAnsiTheme="majorHAnsi"/>
          <w:b/>
          <w:sz w:val="28"/>
          <w:szCs w:val="28"/>
        </w:rPr>
      </w:pPr>
      <w:r w:rsidRPr="00E128BA">
        <w:rPr>
          <w:rFonts w:asciiTheme="majorHAnsi" w:hAnsiTheme="majorHAnsi"/>
          <w:b/>
          <w:sz w:val="28"/>
          <w:szCs w:val="28"/>
        </w:rPr>
        <w:t>LEARNING OBJECTIVES:</w:t>
      </w:r>
    </w:p>
    <w:tbl>
      <w:tblPr>
        <w:tblStyle w:val="TableGrid"/>
        <w:tblW w:w="8838" w:type="dxa"/>
        <w:tblInd w:w="446" w:type="dxa"/>
        <w:tblLayout w:type="fixed"/>
        <w:tblLook w:val="04A0" w:firstRow="1" w:lastRow="0" w:firstColumn="1" w:lastColumn="0" w:noHBand="0" w:noVBand="1"/>
      </w:tblPr>
      <w:tblGrid>
        <w:gridCol w:w="1642"/>
        <w:gridCol w:w="1796"/>
        <w:gridCol w:w="5400"/>
      </w:tblGrid>
      <w:tr w:rsidR="004C5517" w:rsidRPr="00425873" w14:paraId="3C2E8420" w14:textId="77777777" w:rsidTr="00C25876">
        <w:tc>
          <w:tcPr>
            <w:tcW w:w="1642" w:type="dxa"/>
          </w:tcPr>
          <w:p w14:paraId="263CC64E" w14:textId="330FC942" w:rsidR="004C5517" w:rsidRPr="00E128BA" w:rsidRDefault="004C5517" w:rsidP="005A182B">
            <w:pPr>
              <w:jc w:val="center"/>
              <w:rPr>
                <w:rFonts w:asciiTheme="majorHAnsi" w:hAnsiTheme="majorHAnsi"/>
                <w:b/>
              </w:rPr>
            </w:pPr>
            <w:r w:rsidRPr="00E128BA">
              <w:rPr>
                <w:rFonts w:asciiTheme="majorHAnsi" w:hAnsiTheme="majorHAnsi"/>
                <w:b/>
              </w:rPr>
              <w:t>Simulation</w:t>
            </w:r>
          </w:p>
        </w:tc>
        <w:tc>
          <w:tcPr>
            <w:tcW w:w="1796" w:type="dxa"/>
          </w:tcPr>
          <w:p w14:paraId="049074CF" w14:textId="77777777" w:rsidR="004C5517" w:rsidRPr="00E128BA" w:rsidRDefault="004C5517" w:rsidP="005A182B">
            <w:pPr>
              <w:jc w:val="center"/>
              <w:rPr>
                <w:rFonts w:asciiTheme="majorHAnsi" w:hAnsiTheme="majorHAnsi"/>
                <w:b/>
              </w:rPr>
            </w:pPr>
            <w:r w:rsidRPr="00E128BA">
              <w:rPr>
                <w:rFonts w:asciiTheme="majorHAnsi" w:hAnsiTheme="majorHAnsi"/>
                <w:b/>
              </w:rPr>
              <w:t>Format</w:t>
            </w:r>
          </w:p>
        </w:tc>
        <w:tc>
          <w:tcPr>
            <w:tcW w:w="5400" w:type="dxa"/>
          </w:tcPr>
          <w:p w14:paraId="34DDCDD7" w14:textId="4158F9EF" w:rsidR="004C5517" w:rsidRPr="00E128BA" w:rsidRDefault="00E128BA" w:rsidP="005A182B">
            <w:pPr>
              <w:jc w:val="center"/>
              <w:rPr>
                <w:rFonts w:asciiTheme="majorHAnsi" w:hAnsiTheme="majorHAnsi"/>
                <w:b/>
              </w:rPr>
            </w:pPr>
            <w:r>
              <w:rPr>
                <w:rFonts w:asciiTheme="majorHAnsi" w:hAnsiTheme="majorHAnsi"/>
                <w:b/>
              </w:rPr>
              <w:t>Objectives, C</w:t>
            </w:r>
            <w:r w:rsidR="004C5517" w:rsidRPr="00E128BA">
              <w:rPr>
                <w:rFonts w:asciiTheme="majorHAnsi" w:hAnsiTheme="majorHAnsi"/>
                <w:b/>
              </w:rPr>
              <w:t>oncepts</w:t>
            </w:r>
          </w:p>
        </w:tc>
      </w:tr>
      <w:tr w:rsidR="004C5517" w:rsidRPr="00D47F98" w14:paraId="689E868E" w14:textId="77777777" w:rsidTr="00C25876">
        <w:tc>
          <w:tcPr>
            <w:tcW w:w="1642" w:type="dxa"/>
          </w:tcPr>
          <w:p w14:paraId="5F8FA35A" w14:textId="041C2D95" w:rsidR="004C5517" w:rsidRDefault="004C5517" w:rsidP="005A182B">
            <w:pPr>
              <w:jc w:val="center"/>
            </w:pPr>
            <w:r>
              <w:t>Reversible Reactions</w:t>
            </w:r>
          </w:p>
          <w:p w14:paraId="247AAAD5" w14:textId="77777777" w:rsidR="004C5517" w:rsidRDefault="004C5517" w:rsidP="005A182B">
            <w:pPr>
              <w:jc w:val="center"/>
            </w:pPr>
          </w:p>
        </w:tc>
        <w:tc>
          <w:tcPr>
            <w:tcW w:w="1796" w:type="dxa"/>
          </w:tcPr>
          <w:p w14:paraId="10F87FE1" w14:textId="77777777" w:rsidR="004C5517" w:rsidRDefault="004C5517" w:rsidP="005A182B">
            <w:pPr>
              <w:ind w:left="36" w:hanging="36"/>
              <w:jc w:val="center"/>
            </w:pPr>
            <w:r>
              <w:t>Instructor-led</w:t>
            </w:r>
          </w:p>
        </w:tc>
        <w:tc>
          <w:tcPr>
            <w:tcW w:w="5400" w:type="dxa"/>
          </w:tcPr>
          <w:p w14:paraId="0E71CBFB" w14:textId="6446675B" w:rsidR="008D7DF7" w:rsidRPr="00D10D4C" w:rsidRDefault="003D5D8C" w:rsidP="005A182B">
            <w:pPr>
              <w:pStyle w:val="ListParagraph"/>
              <w:numPr>
                <w:ilvl w:val="0"/>
                <w:numId w:val="9"/>
              </w:numPr>
              <w:ind w:left="342" w:hanging="270"/>
            </w:pPr>
            <w:r>
              <w:t xml:space="preserve">Explain a spontaneous process – </w:t>
            </w:r>
            <w:r w:rsidRPr="00D10D4C">
              <w:t>such</w:t>
            </w:r>
            <w:r>
              <w:t xml:space="preserve"> </w:t>
            </w:r>
            <w:r w:rsidRPr="00D10D4C">
              <w:t>as air rushing in to an evacuated chamber</w:t>
            </w:r>
            <w:r>
              <w:t xml:space="preserve"> – using </w:t>
            </w:r>
            <w:r w:rsidR="008D7DF7" w:rsidRPr="00D10D4C">
              <w:t>particl</w:t>
            </w:r>
            <w:r>
              <w:t>e motion at the molecular level</w:t>
            </w:r>
            <w:r w:rsidR="00D10D4C" w:rsidRPr="00D10D4C">
              <w:t>.</w:t>
            </w:r>
          </w:p>
          <w:p w14:paraId="77E29FB1" w14:textId="239C6094" w:rsidR="008D7DF7" w:rsidRPr="00D10D4C" w:rsidRDefault="008D7DF7" w:rsidP="005A182B">
            <w:pPr>
              <w:pStyle w:val="ListParagraph"/>
              <w:numPr>
                <w:ilvl w:val="0"/>
                <w:numId w:val="9"/>
              </w:numPr>
              <w:ind w:left="342" w:hanging="270"/>
            </w:pPr>
            <w:r w:rsidRPr="00D10D4C">
              <w:t>Distinguish between spontaneous and non-spontaneous processes, and connect these to a probabilistic description of matter.</w:t>
            </w:r>
          </w:p>
          <w:p w14:paraId="4527F938" w14:textId="2D766544" w:rsidR="00225273" w:rsidRDefault="008D7DF7" w:rsidP="005A182B">
            <w:pPr>
              <w:pStyle w:val="ListParagraph"/>
              <w:numPr>
                <w:ilvl w:val="0"/>
                <w:numId w:val="9"/>
              </w:numPr>
              <w:ind w:left="342" w:hanging="270"/>
            </w:pPr>
            <w:r w:rsidRPr="00D10D4C">
              <w:t>Explain how a large nu</w:t>
            </w:r>
            <w:r w:rsidR="00D10D4C" w:rsidRPr="00D10D4C">
              <w:t>mber of microstates can produce</w:t>
            </w:r>
            <w:r w:rsidRPr="00D10D4C">
              <w:t xml:space="preserve"> the same macro-state. </w:t>
            </w:r>
          </w:p>
          <w:p w14:paraId="4FCB1FF9" w14:textId="3F12E10B" w:rsidR="00225273" w:rsidRDefault="00225273" w:rsidP="005A182B">
            <w:pPr>
              <w:pStyle w:val="ListParagraph"/>
              <w:numPr>
                <w:ilvl w:val="0"/>
                <w:numId w:val="9"/>
              </w:numPr>
              <w:ind w:left="342" w:hanging="270"/>
            </w:pPr>
            <w:r>
              <w:t>Perform calculations involving probability.</w:t>
            </w:r>
          </w:p>
          <w:p w14:paraId="284E8DB1" w14:textId="4D0BACAC" w:rsidR="004C5517" w:rsidRPr="00D47F98" w:rsidRDefault="00DD6D76" w:rsidP="005A182B">
            <w:pPr>
              <w:pStyle w:val="ListParagraph"/>
              <w:numPr>
                <w:ilvl w:val="0"/>
                <w:numId w:val="9"/>
              </w:numPr>
              <w:ind w:left="342" w:hanging="270"/>
            </w:pPr>
            <w:r>
              <w:t>Use particle motion and probability to explain heat transfer.</w:t>
            </w:r>
          </w:p>
        </w:tc>
      </w:tr>
    </w:tbl>
    <w:p w14:paraId="682755CB" w14:textId="4C154335" w:rsidR="004C5517" w:rsidRDefault="004C5517" w:rsidP="005A182B">
      <w:pPr>
        <w:rPr>
          <w:b/>
        </w:rPr>
      </w:pPr>
    </w:p>
    <w:p w14:paraId="0DD12669" w14:textId="57CE9F89" w:rsidR="004C5517" w:rsidRPr="00E128BA" w:rsidRDefault="00E128BA" w:rsidP="005A182B">
      <w:pPr>
        <w:tabs>
          <w:tab w:val="center" w:pos="270"/>
          <w:tab w:val="center" w:pos="450"/>
          <w:tab w:val="center" w:pos="720"/>
        </w:tabs>
        <w:ind w:left="446"/>
        <w:rPr>
          <w:rFonts w:asciiTheme="majorHAnsi" w:hAnsiTheme="majorHAnsi"/>
          <w:b/>
          <w:sz w:val="28"/>
          <w:szCs w:val="28"/>
        </w:rPr>
      </w:pPr>
      <w:r w:rsidRPr="00E128BA">
        <w:rPr>
          <w:rFonts w:asciiTheme="majorHAnsi" w:hAnsiTheme="majorHAnsi"/>
          <w:b/>
          <w:sz w:val="28"/>
          <w:szCs w:val="28"/>
        </w:rPr>
        <w:t>RESOURCE</w:t>
      </w:r>
      <w:r>
        <w:rPr>
          <w:rFonts w:asciiTheme="majorHAnsi" w:hAnsiTheme="majorHAnsi"/>
          <w:b/>
          <w:sz w:val="28"/>
          <w:szCs w:val="28"/>
        </w:rPr>
        <w:t>:</w:t>
      </w:r>
    </w:p>
    <w:p w14:paraId="2BBB3CB9" w14:textId="66DF30B0" w:rsidR="004C5517" w:rsidRDefault="004C5517" w:rsidP="005A182B">
      <w:pPr>
        <w:tabs>
          <w:tab w:val="center" w:pos="270"/>
          <w:tab w:val="center" w:pos="450"/>
          <w:tab w:val="center" w:pos="720"/>
        </w:tabs>
        <w:ind w:left="446"/>
      </w:pPr>
      <w:r>
        <w:t xml:space="preserve">Reversible Reactions: </w:t>
      </w:r>
      <w:hyperlink r:id="rId10" w:history="1">
        <w:r w:rsidRPr="00D1373B">
          <w:rPr>
            <w:rStyle w:val="Hyperlink"/>
          </w:rPr>
          <w:t>http://phet.colorado.edu/en/simulation/reversible-reactions</w:t>
        </w:r>
      </w:hyperlink>
    </w:p>
    <w:p w14:paraId="3A129088" w14:textId="2D61FBFE" w:rsidR="002F53E1" w:rsidRDefault="002F53E1" w:rsidP="005A182B">
      <w:pPr>
        <w:tabs>
          <w:tab w:val="center" w:pos="270"/>
          <w:tab w:val="center" w:pos="450"/>
          <w:tab w:val="center" w:pos="720"/>
        </w:tabs>
        <w:ind w:left="446"/>
        <w:rPr>
          <w:b/>
        </w:rPr>
      </w:pPr>
    </w:p>
    <w:p w14:paraId="0D7912C7" w14:textId="30D5C628" w:rsidR="00E128BA" w:rsidRDefault="00E128BA" w:rsidP="005A182B">
      <w:pPr>
        <w:tabs>
          <w:tab w:val="center" w:pos="270"/>
          <w:tab w:val="center" w:pos="450"/>
          <w:tab w:val="center" w:pos="720"/>
        </w:tabs>
        <w:ind w:left="446"/>
      </w:pPr>
      <w:r w:rsidRPr="00E128BA">
        <w:rPr>
          <w:rFonts w:asciiTheme="majorHAnsi" w:hAnsiTheme="majorHAnsi"/>
          <w:b/>
          <w:sz w:val="28"/>
          <w:szCs w:val="28"/>
        </w:rPr>
        <w:t>KEYWORDS:</w:t>
      </w:r>
    </w:p>
    <w:p w14:paraId="032DDFB0" w14:textId="17FA7CCC" w:rsidR="002F53E1" w:rsidRDefault="002F53E1" w:rsidP="005A182B">
      <w:pPr>
        <w:tabs>
          <w:tab w:val="center" w:pos="270"/>
          <w:tab w:val="center" w:pos="450"/>
          <w:tab w:val="center" w:pos="720"/>
        </w:tabs>
        <w:ind w:left="446"/>
      </w:pPr>
      <w:r>
        <w:t>Entropy, spontaneous and non-spontaneous processes, 2</w:t>
      </w:r>
      <w:r w:rsidRPr="009E3503">
        <w:rPr>
          <w:vertAlign w:val="superscript"/>
        </w:rPr>
        <w:t>nd</w:t>
      </w:r>
      <w:r>
        <w:t xml:space="preserve"> law of thermodynamics, microstates, Boltzmann</w:t>
      </w:r>
    </w:p>
    <w:p w14:paraId="753F8BB1" w14:textId="451B4E49" w:rsidR="002F53E1" w:rsidRDefault="002F53E1" w:rsidP="005A182B">
      <w:pPr>
        <w:tabs>
          <w:tab w:val="center" w:pos="270"/>
          <w:tab w:val="center" w:pos="450"/>
          <w:tab w:val="center" w:pos="720"/>
        </w:tabs>
        <w:ind w:left="446"/>
        <w:rPr>
          <w:b/>
        </w:rPr>
      </w:pPr>
    </w:p>
    <w:p w14:paraId="177EE012" w14:textId="76764798" w:rsidR="003D5D8C" w:rsidRPr="00E128BA" w:rsidRDefault="00E128BA" w:rsidP="005A182B">
      <w:pPr>
        <w:tabs>
          <w:tab w:val="center" w:pos="270"/>
          <w:tab w:val="center" w:pos="450"/>
          <w:tab w:val="center" w:pos="720"/>
        </w:tabs>
        <w:ind w:left="446"/>
        <w:rPr>
          <w:rFonts w:asciiTheme="majorHAnsi" w:hAnsiTheme="majorHAnsi"/>
          <w:b/>
          <w:sz w:val="28"/>
          <w:szCs w:val="28"/>
        </w:rPr>
      </w:pPr>
      <w:r w:rsidRPr="00E128BA">
        <w:rPr>
          <w:rFonts w:asciiTheme="majorHAnsi" w:hAnsiTheme="majorHAnsi"/>
          <w:b/>
          <w:sz w:val="28"/>
          <w:szCs w:val="28"/>
        </w:rPr>
        <w:t>SIM LOGISTICS</w:t>
      </w:r>
      <w:r w:rsidR="00F6716C">
        <w:rPr>
          <w:rFonts w:asciiTheme="majorHAnsi" w:hAnsiTheme="majorHAnsi"/>
          <w:b/>
          <w:sz w:val="28"/>
          <w:szCs w:val="28"/>
        </w:rPr>
        <w:t>:</w:t>
      </w:r>
    </w:p>
    <w:p w14:paraId="301B1032" w14:textId="3BA7FD73" w:rsidR="003D5D8C" w:rsidRDefault="009A0166" w:rsidP="005A182B">
      <w:pPr>
        <w:pStyle w:val="ListParagraph"/>
        <w:numPr>
          <w:ilvl w:val="0"/>
          <w:numId w:val="13"/>
        </w:numPr>
        <w:ind w:left="450" w:right="3330"/>
      </w:pPr>
      <w:r>
        <w:rPr>
          <w:noProof/>
        </w:rPr>
        <w:drawing>
          <wp:anchor distT="0" distB="0" distL="114300" distR="114300" simplePos="0" relativeHeight="251664384" behindDoc="0" locked="0" layoutInCell="1" allowOverlap="1" wp14:anchorId="10637FAE" wp14:editId="5613A087">
            <wp:simplePos x="0" y="0"/>
            <wp:positionH relativeFrom="column">
              <wp:posOffset>4267200</wp:posOffset>
            </wp:positionH>
            <wp:positionV relativeFrom="paragraph">
              <wp:posOffset>19685</wp:posOffset>
            </wp:positionV>
            <wp:extent cx="2400300" cy="723900"/>
            <wp:effectExtent l="0" t="0" r="12700" b="1270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5D8C">
        <w:t>Raising the bottom platforms and drawing up the central divider makes two distinct chambers.</w:t>
      </w:r>
    </w:p>
    <w:p w14:paraId="2617C578" w14:textId="6BC2434B" w:rsidR="003D5D8C" w:rsidRDefault="003D5D8C" w:rsidP="005A182B">
      <w:pPr>
        <w:pStyle w:val="ListParagraph"/>
        <w:numPr>
          <w:ilvl w:val="0"/>
          <w:numId w:val="13"/>
        </w:numPr>
        <w:ind w:left="450" w:right="3330"/>
      </w:pPr>
      <w:r>
        <w:t>Molecules can be added to either chamber.  Heating or cooling affects particle motion.</w:t>
      </w:r>
    </w:p>
    <w:p w14:paraId="26B7EB07" w14:textId="0139A3AF" w:rsidR="003D5D8C" w:rsidRDefault="003D5D8C" w:rsidP="005A182B">
      <w:pPr>
        <w:pStyle w:val="ListParagraph"/>
        <w:numPr>
          <w:ilvl w:val="0"/>
          <w:numId w:val="13"/>
        </w:numPr>
        <w:ind w:left="450"/>
      </w:pPr>
      <w:r>
        <w:t>Removing the central barrier allows the molecules to move between chambers.</w:t>
      </w:r>
    </w:p>
    <w:p w14:paraId="2EB0DAC2" w14:textId="77777777" w:rsidR="0026415D" w:rsidRDefault="003D5D8C" w:rsidP="005A182B">
      <w:pPr>
        <w:pStyle w:val="ListParagraph"/>
        <w:numPr>
          <w:ilvl w:val="0"/>
          <w:numId w:val="13"/>
        </w:numPr>
        <w:ind w:left="450"/>
      </w:pPr>
      <w:r>
        <w:t xml:space="preserve">Particle color indicates which chamber the molecules are in. </w:t>
      </w:r>
    </w:p>
    <w:p w14:paraId="0E298924" w14:textId="77777777" w:rsidR="0026415D" w:rsidRDefault="0026415D" w:rsidP="005A182B">
      <w:pPr>
        <w:ind w:right="3240"/>
      </w:pPr>
    </w:p>
    <w:p w14:paraId="0E4580A4" w14:textId="77777777" w:rsidR="005A182B" w:rsidRDefault="005A182B" w:rsidP="005A182B">
      <w:pPr>
        <w:tabs>
          <w:tab w:val="center" w:pos="270"/>
          <w:tab w:val="center" w:pos="450"/>
          <w:tab w:val="center" w:pos="720"/>
        </w:tabs>
        <w:ind w:left="446"/>
      </w:pPr>
    </w:p>
    <w:p w14:paraId="1A895CBF" w14:textId="4026984E" w:rsidR="0026415D" w:rsidRDefault="0026415D" w:rsidP="005A182B">
      <w:pPr>
        <w:tabs>
          <w:tab w:val="center" w:pos="270"/>
          <w:tab w:val="center" w:pos="450"/>
          <w:tab w:val="center" w:pos="720"/>
        </w:tabs>
        <w:ind w:left="446"/>
      </w:pPr>
      <w:r>
        <w:t xml:space="preserve">This demo uses an older </w:t>
      </w:r>
      <w:proofErr w:type="spellStart"/>
      <w:r>
        <w:t>PhET</w:t>
      </w:r>
      <w:proofErr w:type="spellEnd"/>
      <w:r>
        <w:t xml:space="preserve"> </w:t>
      </w:r>
      <w:proofErr w:type="spellStart"/>
      <w:r>
        <w:t>sim</w:t>
      </w:r>
      <w:proofErr w:type="spellEnd"/>
      <w:r>
        <w:t xml:space="preserve"> in a non-standard way. </w:t>
      </w:r>
      <w:r w:rsidR="00E877CE">
        <w:t xml:space="preserve"> You may encounter bugs if you “test the limits” of the </w:t>
      </w:r>
      <w:proofErr w:type="spellStart"/>
      <w:r w:rsidR="00E877CE">
        <w:t>sim</w:t>
      </w:r>
      <w:proofErr w:type="spellEnd"/>
      <w:r w:rsidR="00E877CE">
        <w:t xml:space="preserve"> (e.g.</w:t>
      </w:r>
      <w:r>
        <w:t xml:space="preserve"> particles </w:t>
      </w:r>
      <w:r w:rsidR="00E877CE">
        <w:t>‘</w:t>
      </w:r>
      <w:r>
        <w:t>escaping</w:t>
      </w:r>
      <w:r w:rsidR="00E877CE">
        <w:t>’ to the space</w:t>
      </w:r>
      <w:r>
        <w:t xml:space="preserve"> below the bottom platforms).  </w:t>
      </w:r>
      <w:r w:rsidR="00E877CE">
        <w:lastRenderedPageBreak/>
        <w:t>If this occurs, w</w:t>
      </w:r>
      <w:r>
        <w:t xml:space="preserve">e recommend using this opportunity to describe tunneling, and then resetting the </w:t>
      </w:r>
      <w:proofErr w:type="spellStart"/>
      <w:r>
        <w:t>sim</w:t>
      </w:r>
      <w:proofErr w:type="spellEnd"/>
      <w:r>
        <w:t xml:space="preserve"> to continue the demo.</w:t>
      </w:r>
    </w:p>
    <w:p w14:paraId="230E757C" w14:textId="77777777" w:rsidR="00E128BA" w:rsidRDefault="00E128BA" w:rsidP="005A182B">
      <w:pPr>
        <w:rPr>
          <w:rFonts w:asciiTheme="majorHAnsi" w:hAnsiTheme="majorHAnsi"/>
          <w:b/>
          <w:sz w:val="28"/>
          <w:szCs w:val="28"/>
        </w:rPr>
      </w:pPr>
    </w:p>
    <w:p w14:paraId="5FE32525" w14:textId="5D7A1070" w:rsidR="00C24F9C" w:rsidRPr="00E128BA" w:rsidRDefault="00E128BA" w:rsidP="005A182B">
      <w:pPr>
        <w:tabs>
          <w:tab w:val="center" w:pos="270"/>
          <w:tab w:val="center" w:pos="450"/>
          <w:tab w:val="center" w:pos="720"/>
        </w:tabs>
        <w:ind w:left="446"/>
        <w:rPr>
          <w:rFonts w:asciiTheme="majorHAnsi" w:hAnsiTheme="majorHAnsi"/>
          <w:sz w:val="28"/>
          <w:szCs w:val="28"/>
        </w:rPr>
      </w:pPr>
      <w:r w:rsidRPr="00E128BA">
        <w:rPr>
          <w:rFonts w:asciiTheme="majorHAnsi" w:hAnsiTheme="majorHAnsi"/>
          <w:b/>
          <w:sz w:val="28"/>
          <w:szCs w:val="28"/>
        </w:rPr>
        <w:t>START OF TEACHER-LED ACTIVITY</w:t>
      </w:r>
    </w:p>
    <w:p w14:paraId="4AC8FB8C" w14:textId="77777777" w:rsidR="00C24F9C" w:rsidRDefault="00C24F9C" w:rsidP="005A182B"/>
    <w:p w14:paraId="34B0EBEF" w14:textId="32A596C5" w:rsidR="00C24F9C" w:rsidRPr="00F6716C" w:rsidRDefault="00E128BA" w:rsidP="00F6716C">
      <w:pPr>
        <w:tabs>
          <w:tab w:val="center" w:pos="270"/>
          <w:tab w:val="center" w:pos="450"/>
          <w:tab w:val="center" w:pos="720"/>
        </w:tabs>
        <w:ind w:left="446"/>
        <w:rPr>
          <w:rFonts w:asciiTheme="majorHAnsi" w:hAnsiTheme="majorHAnsi"/>
          <w:b/>
          <w:sz w:val="28"/>
          <w:szCs w:val="28"/>
        </w:rPr>
      </w:pPr>
      <w:r w:rsidRPr="00E128BA">
        <w:rPr>
          <w:rFonts w:asciiTheme="majorHAnsi" w:hAnsiTheme="majorHAnsi"/>
          <w:b/>
          <w:sz w:val="28"/>
          <w:szCs w:val="28"/>
        </w:rPr>
        <w:t>DEMONSTRATION – DISCUSSION OF AIR ENTERING AN EVACUATED CHAMBER</w:t>
      </w:r>
    </w:p>
    <w:p w14:paraId="63BF37E7" w14:textId="2D791D34" w:rsidR="00C24F9C" w:rsidRDefault="00C24F9C" w:rsidP="00F6716C">
      <w:pPr>
        <w:tabs>
          <w:tab w:val="center" w:pos="270"/>
          <w:tab w:val="center" w:pos="450"/>
          <w:tab w:val="center" w:pos="720"/>
        </w:tabs>
        <w:ind w:left="446"/>
      </w:pPr>
      <w:r>
        <w:t>An evacuated chamber is shown to the class along with a slide to elic</w:t>
      </w:r>
      <w:r w:rsidR="005D129E">
        <w:t>it predictions and explanations (Slide 1).</w:t>
      </w:r>
      <w:r w:rsidR="00F6716C">
        <w:t xml:space="preserve"> </w:t>
      </w:r>
      <w:r>
        <w:t xml:space="preserve">The prediction that air will go into the empty chamber will be unanimous.  However, explanation for this spontaneous process will be varied.  The notion that air is “sucked in” will be common, but this implies an attraction.  What in the empty chamber attracts the air molecules?  Perhaps the gas molecules outside the chamber repel each other, forcing some into the chamber.  However, this does not seem consistent with the behavior of an ideal gas.  </w:t>
      </w:r>
      <w:proofErr w:type="gramStart"/>
      <w:r>
        <w:t xml:space="preserve">The </w:t>
      </w:r>
      <w:r w:rsidR="00C51367">
        <w:t>phrase, “Nature abhors a vacuum” may</w:t>
      </w:r>
      <w:r>
        <w:t xml:space="preserve"> be recited</w:t>
      </w:r>
      <w:r w:rsidR="00C51367">
        <w:t xml:space="preserve"> by students</w:t>
      </w:r>
      <w:proofErr w:type="gramEnd"/>
      <w:r w:rsidR="00C51367">
        <w:t>, but what does this physically mean?</w:t>
      </w:r>
    </w:p>
    <w:p w14:paraId="06693115" w14:textId="77777777" w:rsidR="00C24F9C" w:rsidRPr="000A57F7" w:rsidRDefault="00C24F9C" w:rsidP="005A182B"/>
    <w:tbl>
      <w:tblPr>
        <w:tblStyle w:val="TableGrid"/>
        <w:tblW w:w="0" w:type="auto"/>
        <w:tblInd w:w="446" w:type="dxa"/>
        <w:tblLook w:val="04A0" w:firstRow="1" w:lastRow="0" w:firstColumn="1" w:lastColumn="0" w:noHBand="0" w:noVBand="1"/>
      </w:tblPr>
      <w:tblGrid>
        <w:gridCol w:w="9146"/>
      </w:tblGrid>
      <w:tr w:rsidR="00C873AE" w14:paraId="3059B61F" w14:textId="77777777" w:rsidTr="005A182B">
        <w:tc>
          <w:tcPr>
            <w:tcW w:w="8856" w:type="dxa"/>
            <w:tcBorders>
              <w:bottom w:val="single" w:sz="4" w:space="0" w:color="auto"/>
            </w:tcBorders>
          </w:tcPr>
          <w:p w14:paraId="6F5F26A0" w14:textId="50AC3EEE" w:rsidR="00C873AE" w:rsidRDefault="001B0BF6" w:rsidP="005A182B">
            <w:pPr>
              <w:ind w:left="450"/>
              <w:rPr>
                <w:b/>
                <w:sz w:val="28"/>
                <w:szCs w:val="28"/>
              </w:rPr>
            </w:pPr>
            <w:r>
              <w:rPr>
                <w:b/>
                <w:noProof/>
                <w:sz w:val="28"/>
                <w:szCs w:val="28"/>
              </w:rPr>
              <w:drawing>
                <wp:inline distT="0" distB="0" distL="0" distR="0" wp14:anchorId="4A302269" wp14:editId="62E1AC15">
                  <wp:extent cx="5379098" cy="4030588"/>
                  <wp:effectExtent l="0" t="0" r="5715" b="8255"/>
                  <wp:docPr id="5" name="Picture 5" descr="Macintosh HD:Users:ysquaredPHET:Desktop:Screen Shot 2014-11-11 at 5.02.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ysquaredPHET:Desktop:Screen Shot 2014-11-11 at 5.02.21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9098" cy="4030588"/>
                          </a:xfrm>
                          <a:prstGeom prst="rect">
                            <a:avLst/>
                          </a:prstGeom>
                          <a:noFill/>
                          <a:ln>
                            <a:noFill/>
                          </a:ln>
                        </pic:spPr>
                      </pic:pic>
                    </a:graphicData>
                  </a:graphic>
                </wp:inline>
              </w:drawing>
            </w:r>
          </w:p>
        </w:tc>
      </w:tr>
      <w:tr w:rsidR="00C873AE" w:rsidRPr="00E128BA" w14:paraId="030E5766" w14:textId="77777777" w:rsidTr="005A182B">
        <w:tc>
          <w:tcPr>
            <w:tcW w:w="8856" w:type="dxa"/>
            <w:tcBorders>
              <w:top w:val="single" w:sz="4" w:space="0" w:color="auto"/>
              <w:left w:val="nil"/>
              <w:bottom w:val="nil"/>
              <w:right w:val="nil"/>
            </w:tcBorders>
          </w:tcPr>
          <w:p w14:paraId="3EB19CB0" w14:textId="0994F39E" w:rsidR="00270DA1" w:rsidRPr="009A0166" w:rsidRDefault="00C873AE" w:rsidP="009A0166">
            <w:pPr>
              <w:rPr>
                <w:rFonts w:asciiTheme="majorHAnsi" w:hAnsiTheme="majorHAnsi"/>
                <w:b/>
              </w:rPr>
            </w:pPr>
            <w:r w:rsidRPr="00E128BA">
              <w:rPr>
                <w:rFonts w:asciiTheme="majorHAnsi" w:hAnsiTheme="majorHAnsi"/>
                <w:b/>
              </w:rPr>
              <w:t>Slide 1:</w:t>
            </w:r>
            <w:r w:rsidR="005D129E" w:rsidRPr="00E128BA">
              <w:rPr>
                <w:rFonts w:asciiTheme="majorHAnsi" w:hAnsiTheme="majorHAnsi"/>
                <w:b/>
              </w:rPr>
              <w:t xml:space="preserve"> Air Moving into an Evacuated Chamber.</w:t>
            </w:r>
          </w:p>
          <w:p w14:paraId="7CAC8F9C" w14:textId="0C15E99B" w:rsidR="00270DA1" w:rsidRPr="00E128BA" w:rsidRDefault="00270DA1" w:rsidP="005A182B">
            <w:pPr>
              <w:ind w:left="450"/>
              <w:rPr>
                <w:rFonts w:asciiTheme="majorHAnsi" w:hAnsiTheme="majorHAnsi"/>
              </w:rPr>
            </w:pPr>
          </w:p>
        </w:tc>
      </w:tr>
    </w:tbl>
    <w:p w14:paraId="7012425B" w14:textId="77777777" w:rsidR="00C873AE" w:rsidRDefault="00C873AE" w:rsidP="005A182B">
      <w:pPr>
        <w:rPr>
          <w:b/>
          <w:sz w:val="28"/>
          <w:szCs w:val="28"/>
        </w:rPr>
      </w:pPr>
    </w:p>
    <w:p w14:paraId="25206501" w14:textId="0736BCF7" w:rsidR="00E50704" w:rsidRPr="009A0166" w:rsidRDefault="001F0BC0" w:rsidP="009A0166">
      <w:pPr>
        <w:tabs>
          <w:tab w:val="center" w:pos="270"/>
          <w:tab w:val="center" w:pos="450"/>
          <w:tab w:val="center" w:pos="720"/>
        </w:tabs>
        <w:ind w:left="446"/>
        <w:rPr>
          <w:rFonts w:asciiTheme="majorHAnsi" w:hAnsiTheme="majorHAnsi"/>
          <w:b/>
          <w:sz w:val="28"/>
          <w:szCs w:val="28"/>
        </w:rPr>
      </w:pPr>
      <w:bookmarkStart w:id="0" w:name="_GoBack"/>
      <w:bookmarkEnd w:id="0"/>
      <w:r>
        <w:rPr>
          <w:b/>
          <w:sz w:val="28"/>
          <w:szCs w:val="28"/>
        </w:rPr>
        <w:br w:type="page"/>
      </w:r>
      <w:r w:rsidR="00E128BA" w:rsidRPr="00E128BA">
        <w:rPr>
          <w:rFonts w:asciiTheme="majorHAnsi" w:hAnsiTheme="majorHAnsi"/>
          <w:b/>
          <w:sz w:val="28"/>
          <w:szCs w:val="28"/>
        </w:rPr>
        <w:lastRenderedPageBreak/>
        <w:t>REVERSIBLE REACTIONS:</w:t>
      </w:r>
    </w:p>
    <w:p w14:paraId="64FA99F0" w14:textId="6D8E4D42" w:rsidR="00B23334" w:rsidRDefault="00B23334" w:rsidP="009A0166">
      <w:pPr>
        <w:tabs>
          <w:tab w:val="center" w:pos="270"/>
          <w:tab w:val="center" w:pos="450"/>
          <w:tab w:val="center" w:pos="720"/>
        </w:tabs>
        <w:ind w:left="446"/>
      </w:pPr>
      <w:r>
        <w:t xml:space="preserve">Set-up the </w:t>
      </w:r>
      <w:proofErr w:type="spellStart"/>
      <w:r>
        <w:t>sim</w:t>
      </w:r>
      <w:proofErr w:type="spellEnd"/>
      <w:r>
        <w:t xml:space="preserve"> so that two gas molecules </w:t>
      </w:r>
      <w:proofErr w:type="gramStart"/>
      <w:r>
        <w:t>are</w:t>
      </w:r>
      <w:proofErr w:type="gramEnd"/>
      <w:r>
        <w:t xml:space="preserve"> in motion in one chamber, with the other chamber empty.  As</w:t>
      </w:r>
      <w:r w:rsidR="000C1988">
        <w:t>k</w:t>
      </w:r>
      <w:r>
        <w:t xml:space="preserve"> the class</w:t>
      </w:r>
      <w:r w:rsidR="000C1988">
        <w:t xml:space="preserve"> to predict what </w:t>
      </w:r>
      <w:r>
        <w:t>happen</w:t>
      </w:r>
      <w:r w:rsidR="000C1988">
        <w:t xml:space="preserve">s when the divider is removed.  This prompt may be stated when the </w:t>
      </w:r>
      <w:proofErr w:type="spellStart"/>
      <w:r w:rsidR="000C1988">
        <w:t>sim</w:t>
      </w:r>
      <w:proofErr w:type="spellEnd"/>
      <w:r w:rsidR="000C1988">
        <w:t xml:space="preserve"> is shown, or summarized on a slide (Slide 2).</w:t>
      </w:r>
    </w:p>
    <w:p w14:paraId="32B6F078" w14:textId="3B71CF66" w:rsidR="00B23334" w:rsidRDefault="009A0166" w:rsidP="009A0166">
      <w:pPr>
        <w:pStyle w:val="ListParagraph"/>
        <w:numPr>
          <w:ilvl w:val="0"/>
          <w:numId w:val="10"/>
        </w:numPr>
        <w:ind w:left="450"/>
      </w:pPr>
      <w:r>
        <w:t xml:space="preserve">Analysis of </w:t>
      </w:r>
      <w:proofErr w:type="spellStart"/>
      <w:r>
        <w:t>sim</w:t>
      </w:r>
      <w:proofErr w:type="spellEnd"/>
      <w:r>
        <w:t xml:space="preserve"> response: “</w:t>
      </w:r>
      <w:r w:rsidR="000C1988">
        <w:t>When the divider is removed, a</w:t>
      </w:r>
      <w:r w:rsidR="00B23334">
        <w:t>re the gas molecules attracted to the right chamber?  Are they sucked into the right chamber?  No, random particle motion explains movement across chambers.</w:t>
      </w:r>
      <w:r w:rsidR="000C1988">
        <w:t>”</w:t>
      </w:r>
      <w:r w:rsidR="00B23334">
        <w:t xml:space="preserve"> </w:t>
      </w:r>
    </w:p>
    <w:p w14:paraId="767C90D7" w14:textId="40443CC8" w:rsidR="00DE6F95" w:rsidRPr="000C1988" w:rsidRDefault="00B23334" w:rsidP="005A182B">
      <w:pPr>
        <w:pStyle w:val="ListParagraph"/>
        <w:numPr>
          <w:ilvl w:val="0"/>
          <w:numId w:val="10"/>
        </w:numPr>
        <w:ind w:left="450"/>
        <w:rPr>
          <w:b/>
          <w:sz w:val="28"/>
          <w:szCs w:val="28"/>
        </w:rPr>
      </w:pPr>
      <w:r>
        <w:t xml:space="preserve">As the </w:t>
      </w:r>
      <w:proofErr w:type="spellStart"/>
      <w:r>
        <w:t>sim</w:t>
      </w:r>
      <w:proofErr w:type="spellEnd"/>
      <w:r>
        <w:t xml:space="preserve"> runs there will be times when both particles are back in the left chamber.  </w:t>
      </w:r>
      <w:r w:rsidR="009A0166">
        <w:t xml:space="preserve">Note this observation </w:t>
      </w:r>
      <w:r w:rsidR="000C1988">
        <w:t xml:space="preserve">(perhaps pausing the </w:t>
      </w:r>
      <w:proofErr w:type="spellStart"/>
      <w:r w:rsidR="000C1988">
        <w:t>sim</w:t>
      </w:r>
      <w:proofErr w:type="spellEnd"/>
      <w:r w:rsidR="000C1988">
        <w:t>) and ask the class “w</w:t>
      </w:r>
      <w:r>
        <w:t>hy is this not observed with the demonstration?  Why does the air rush into the evacuated chamber, but not rush back out?</w:t>
      </w:r>
      <w:r w:rsidR="000C1988">
        <w:t>”</w:t>
      </w:r>
      <w:r>
        <w:t xml:space="preserve">  </w:t>
      </w:r>
      <w:r w:rsidR="00C51367">
        <w:t>This question will lead students to consider and</w:t>
      </w:r>
      <w:r>
        <w:t xml:space="preserve"> suggest that there are more than just two gas molecules outside the empty container, so the situation is different.</w:t>
      </w:r>
    </w:p>
    <w:p w14:paraId="1B2D3BE7" w14:textId="77777777" w:rsidR="00DE6F95" w:rsidRDefault="00DE6F95" w:rsidP="005A182B">
      <w:pPr>
        <w:rPr>
          <w:b/>
          <w:sz w:val="28"/>
          <w:szCs w:val="28"/>
        </w:rPr>
      </w:pPr>
    </w:p>
    <w:tbl>
      <w:tblPr>
        <w:tblStyle w:val="TableGrid"/>
        <w:tblW w:w="0" w:type="auto"/>
        <w:tblInd w:w="446" w:type="dxa"/>
        <w:tblLook w:val="04A0" w:firstRow="1" w:lastRow="0" w:firstColumn="1" w:lastColumn="0" w:noHBand="0" w:noVBand="1"/>
      </w:tblPr>
      <w:tblGrid>
        <w:gridCol w:w="9306"/>
      </w:tblGrid>
      <w:tr w:rsidR="00C873AE" w14:paraId="6DAF86FB" w14:textId="77777777" w:rsidTr="005A182B">
        <w:tc>
          <w:tcPr>
            <w:tcW w:w="8856" w:type="dxa"/>
            <w:tcBorders>
              <w:bottom w:val="single" w:sz="4" w:space="0" w:color="auto"/>
            </w:tcBorders>
          </w:tcPr>
          <w:p w14:paraId="5678A71A" w14:textId="0F2ED3F5" w:rsidR="00C873AE" w:rsidRDefault="00AF57F3" w:rsidP="005A182B">
            <w:pPr>
              <w:ind w:left="450"/>
              <w:rPr>
                <w:b/>
                <w:sz w:val="28"/>
                <w:szCs w:val="28"/>
              </w:rPr>
            </w:pPr>
            <w:r>
              <w:rPr>
                <w:b/>
                <w:noProof/>
                <w:sz w:val="28"/>
                <w:szCs w:val="28"/>
              </w:rPr>
              <w:drawing>
                <wp:inline distT="0" distB="0" distL="0" distR="0" wp14:anchorId="115DE032" wp14:editId="4CDE8205">
                  <wp:extent cx="5477510" cy="1367155"/>
                  <wp:effectExtent l="0" t="0" r="8890" b="4445"/>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7510" cy="1367155"/>
                          </a:xfrm>
                          <a:prstGeom prst="rect">
                            <a:avLst/>
                          </a:prstGeom>
                          <a:noFill/>
                          <a:ln>
                            <a:noFill/>
                          </a:ln>
                        </pic:spPr>
                      </pic:pic>
                    </a:graphicData>
                  </a:graphic>
                </wp:inline>
              </w:drawing>
            </w:r>
          </w:p>
        </w:tc>
      </w:tr>
      <w:tr w:rsidR="00C873AE" w:rsidRPr="00E128BA" w14:paraId="2AD65164" w14:textId="77777777" w:rsidTr="005A182B">
        <w:trPr>
          <w:trHeight w:val="512"/>
        </w:trPr>
        <w:tc>
          <w:tcPr>
            <w:tcW w:w="8856" w:type="dxa"/>
            <w:tcBorders>
              <w:top w:val="single" w:sz="4" w:space="0" w:color="auto"/>
              <w:left w:val="nil"/>
              <w:bottom w:val="nil"/>
              <w:right w:val="nil"/>
            </w:tcBorders>
          </w:tcPr>
          <w:p w14:paraId="01DA32AA" w14:textId="78059794" w:rsidR="00C873AE" w:rsidRPr="009A0166" w:rsidRDefault="00C873AE" w:rsidP="009A0166">
            <w:pPr>
              <w:rPr>
                <w:rFonts w:asciiTheme="majorHAnsi" w:hAnsiTheme="majorHAnsi"/>
                <w:b/>
              </w:rPr>
            </w:pPr>
            <w:r w:rsidRPr="00E128BA">
              <w:rPr>
                <w:rFonts w:asciiTheme="majorHAnsi" w:hAnsiTheme="majorHAnsi"/>
                <w:b/>
              </w:rPr>
              <w:t>Slide 2:</w:t>
            </w:r>
            <w:r w:rsidR="000C1988" w:rsidRPr="00E128BA">
              <w:rPr>
                <w:rFonts w:asciiTheme="majorHAnsi" w:hAnsiTheme="majorHAnsi"/>
                <w:b/>
              </w:rPr>
              <w:t xml:space="preserve"> Expansion of a Gas with Two Molecules.</w:t>
            </w:r>
          </w:p>
        </w:tc>
      </w:tr>
    </w:tbl>
    <w:p w14:paraId="335505AE" w14:textId="77777777" w:rsidR="004C5517" w:rsidRDefault="004C5517" w:rsidP="005A182B">
      <w:pPr>
        <w:rPr>
          <w:b/>
          <w:sz w:val="28"/>
          <w:szCs w:val="28"/>
        </w:rPr>
      </w:pPr>
    </w:p>
    <w:p w14:paraId="7DDFED08" w14:textId="14DC96B5" w:rsidR="00E866D1" w:rsidRDefault="00E866D1" w:rsidP="009A0166">
      <w:pPr>
        <w:tabs>
          <w:tab w:val="center" w:pos="270"/>
          <w:tab w:val="center" w:pos="450"/>
          <w:tab w:val="center" w:pos="720"/>
        </w:tabs>
        <w:ind w:left="446"/>
      </w:pPr>
      <w:r>
        <w:t>Next,</w:t>
      </w:r>
      <w:r w:rsidR="00C51367">
        <w:t xml:space="preserve"> ask students to</w:t>
      </w:r>
      <w:r>
        <w:t xml:space="preserve"> consider what happens if 50 molecules are in motion in the left chamber, </w:t>
      </w:r>
      <w:r w:rsidR="00A56E44">
        <w:t>and then the divider is removed.</w:t>
      </w:r>
      <w:r>
        <w:t xml:space="preserve">  Students make a prediction, which is then tested in the </w:t>
      </w:r>
      <w:proofErr w:type="spellStart"/>
      <w:r>
        <w:t>sim</w:t>
      </w:r>
      <w:proofErr w:type="spellEnd"/>
      <w:r>
        <w:t xml:space="preserve"> (Slide 3).</w:t>
      </w:r>
    </w:p>
    <w:p w14:paraId="129546DE" w14:textId="3877A4F7" w:rsidR="00E866D1" w:rsidRDefault="00E866D1" w:rsidP="005A182B">
      <w:pPr>
        <w:pStyle w:val="ListParagraph"/>
        <w:numPr>
          <w:ilvl w:val="0"/>
          <w:numId w:val="14"/>
        </w:numPr>
        <w:ind w:left="450"/>
      </w:pPr>
      <w:r>
        <w:t>Th</w:t>
      </w:r>
      <w:r w:rsidR="00C51367">
        <w:t xml:space="preserve">is example introduces the </w:t>
      </w:r>
      <w:r>
        <w:t>idea that spontaneity and the direction of a process are explained at the molecular level by the motion of a large n</w:t>
      </w:r>
      <w:r w:rsidR="00C51367">
        <w:t>umber of particles</w:t>
      </w:r>
      <w:r>
        <w:t xml:space="preserve">.   </w:t>
      </w:r>
    </w:p>
    <w:p w14:paraId="5FC7AF5D" w14:textId="77777777" w:rsidR="004C5517" w:rsidRDefault="004C5517" w:rsidP="005A182B">
      <w:pPr>
        <w:rPr>
          <w:b/>
        </w:rPr>
      </w:pPr>
    </w:p>
    <w:tbl>
      <w:tblPr>
        <w:tblStyle w:val="TableGrid"/>
        <w:tblW w:w="0" w:type="auto"/>
        <w:tblInd w:w="446" w:type="dxa"/>
        <w:tblLook w:val="04A0" w:firstRow="1" w:lastRow="0" w:firstColumn="1" w:lastColumn="0" w:noHBand="0" w:noVBand="1"/>
      </w:tblPr>
      <w:tblGrid>
        <w:gridCol w:w="9306"/>
      </w:tblGrid>
      <w:tr w:rsidR="00E866D1" w14:paraId="252D0431" w14:textId="77777777" w:rsidTr="005A182B">
        <w:tc>
          <w:tcPr>
            <w:tcW w:w="8856" w:type="dxa"/>
            <w:tcBorders>
              <w:bottom w:val="single" w:sz="4" w:space="0" w:color="auto"/>
            </w:tcBorders>
          </w:tcPr>
          <w:p w14:paraId="1A5E0D32" w14:textId="77777777" w:rsidR="00E866D1" w:rsidRDefault="00E866D1" w:rsidP="005A182B">
            <w:pPr>
              <w:ind w:left="450"/>
            </w:pPr>
            <w:r>
              <w:rPr>
                <w:noProof/>
              </w:rPr>
              <w:drawing>
                <wp:inline distT="0" distB="0" distL="0" distR="0" wp14:anchorId="55B326EE" wp14:editId="54E95FA3">
                  <wp:extent cx="5486400" cy="1167765"/>
                  <wp:effectExtent l="0" t="0" r="0" b="635"/>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1167765"/>
                          </a:xfrm>
                          <a:prstGeom prst="rect">
                            <a:avLst/>
                          </a:prstGeom>
                          <a:noFill/>
                          <a:ln>
                            <a:noFill/>
                          </a:ln>
                        </pic:spPr>
                      </pic:pic>
                    </a:graphicData>
                  </a:graphic>
                </wp:inline>
              </w:drawing>
            </w:r>
          </w:p>
        </w:tc>
      </w:tr>
      <w:tr w:rsidR="00E866D1" w:rsidRPr="00E128BA" w14:paraId="53F0BDEE" w14:textId="77777777" w:rsidTr="005A182B">
        <w:tc>
          <w:tcPr>
            <w:tcW w:w="8856" w:type="dxa"/>
            <w:tcBorders>
              <w:top w:val="single" w:sz="4" w:space="0" w:color="auto"/>
              <w:left w:val="nil"/>
              <w:bottom w:val="nil"/>
              <w:right w:val="nil"/>
            </w:tcBorders>
          </w:tcPr>
          <w:p w14:paraId="6726BB6A" w14:textId="342AABD9" w:rsidR="00E866D1" w:rsidRPr="00E128BA" w:rsidRDefault="00E866D1" w:rsidP="009A0166">
            <w:pPr>
              <w:rPr>
                <w:rFonts w:asciiTheme="majorHAnsi" w:hAnsiTheme="majorHAnsi"/>
                <w:b/>
              </w:rPr>
            </w:pPr>
            <w:r w:rsidRPr="00E128BA">
              <w:rPr>
                <w:rFonts w:asciiTheme="majorHAnsi" w:hAnsiTheme="majorHAnsi"/>
                <w:b/>
              </w:rPr>
              <w:t xml:space="preserve">Slide 3: Expansion of a Gas with </w:t>
            </w:r>
            <w:r w:rsidR="00A56E44" w:rsidRPr="00E128BA">
              <w:rPr>
                <w:rFonts w:asciiTheme="majorHAnsi" w:hAnsiTheme="majorHAnsi"/>
                <w:b/>
              </w:rPr>
              <w:t xml:space="preserve">Fifty </w:t>
            </w:r>
            <w:r w:rsidRPr="00E128BA">
              <w:rPr>
                <w:rFonts w:asciiTheme="majorHAnsi" w:hAnsiTheme="majorHAnsi"/>
                <w:b/>
              </w:rPr>
              <w:t>Molecules.</w:t>
            </w:r>
          </w:p>
        </w:tc>
      </w:tr>
    </w:tbl>
    <w:p w14:paraId="11DE5B37" w14:textId="77777777" w:rsidR="00E866D1" w:rsidRDefault="00E866D1" w:rsidP="005A182B">
      <w:pPr>
        <w:rPr>
          <w:b/>
        </w:rPr>
      </w:pPr>
    </w:p>
    <w:p w14:paraId="2E9C16BF" w14:textId="28218C7F" w:rsidR="00E50704" w:rsidRDefault="00E50704" w:rsidP="009A0166">
      <w:pPr>
        <w:tabs>
          <w:tab w:val="center" w:pos="270"/>
          <w:tab w:val="center" w:pos="450"/>
          <w:tab w:val="center" w:pos="720"/>
        </w:tabs>
        <w:ind w:left="446"/>
      </w:pPr>
      <w:r>
        <w:t xml:space="preserve">When 50 molecules began in the left chamber they became distributed throughout both chambers, with about 25 on each side.  </w:t>
      </w:r>
    </w:p>
    <w:p w14:paraId="5B7E1091" w14:textId="3252A8C6" w:rsidR="00E50704" w:rsidRDefault="00E50704" w:rsidP="009A0166">
      <w:pPr>
        <w:tabs>
          <w:tab w:val="center" w:pos="270"/>
          <w:tab w:val="center" w:pos="450"/>
          <w:tab w:val="center" w:pos="720"/>
        </w:tabs>
        <w:ind w:left="446"/>
      </w:pPr>
      <w:r>
        <w:t xml:space="preserve">Next, investigate what happens when 25 molecules </w:t>
      </w:r>
      <w:r w:rsidRPr="00BC471E">
        <w:rPr>
          <w:i/>
        </w:rPr>
        <w:t>begin</w:t>
      </w:r>
      <w:r>
        <w:t xml:space="preserve"> in the left and right chambers.  Once again, students make a prediction and then test with the </w:t>
      </w:r>
      <w:proofErr w:type="spellStart"/>
      <w:r>
        <w:t>sim</w:t>
      </w:r>
      <w:proofErr w:type="spellEnd"/>
      <w:r>
        <w:t>.  The initial prompt may be stated, or summarized on a slide (Slide 4).</w:t>
      </w:r>
    </w:p>
    <w:p w14:paraId="71A0C00B" w14:textId="73CDD8B6" w:rsidR="00E50704" w:rsidRDefault="00E50704" w:rsidP="009A0166">
      <w:pPr>
        <w:pStyle w:val="ListParagraph"/>
        <w:numPr>
          <w:ilvl w:val="0"/>
          <w:numId w:val="10"/>
        </w:numPr>
        <w:ind w:left="450"/>
      </w:pPr>
      <w:r>
        <w:lastRenderedPageBreak/>
        <w:t>Particle motion takes place.  Molecules once again move from side to side, e.g. the same molecules do not remain in the left chamber.</w:t>
      </w:r>
    </w:p>
    <w:p w14:paraId="3F55379E" w14:textId="6AE58FBF" w:rsidR="00E50704" w:rsidRDefault="00E50704" w:rsidP="005A182B">
      <w:pPr>
        <w:pStyle w:val="ListParagraph"/>
        <w:numPr>
          <w:ilvl w:val="0"/>
          <w:numId w:val="10"/>
        </w:numPr>
        <w:ind w:left="450"/>
      </w:pPr>
      <w:r w:rsidRPr="00E877CE">
        <w:t xml:space="preserve">The </w:t>
      </w:r>
      <w:r w:rsidRPr="00E877CE">
        <w:rPr>
          <w:i/>
        </w:rPr>
        <w:t>macroscopic observation</w:t>
      </w:r>
      <w:r w:rsidRPr="00E877CE">
        <w:t xml:space="preserve"> is the same, with about 25 molecules on each side.  Many different </w:t>
      </w:r>
      <w:r w:rsidRPr="00E877CE">
        <w:rPr>
          <w:i/>
        </w:rPr>
        <w:t>microstates</w:t>
      </w:r>
      <w:r w:rsidRPr="00E877CE">
        <w:t xml:space="preserve"> can lead to the same macro-state.  A microstate is the particular microscopic arrangement of the ato</w:t>
      </w:r>
      <w:r w:rsidR="00515578" w:rsidRPr="00E877CE">
        <w:t>ms or molecules, including the</w:t>
      </w:r>
      <w:r w:rsidR="004726C9" w:rsidRPr="00E877CE">
        <w:t xml:space="preserve"> position</w:t>
      </w:r>
      <w:r w:rsidRPr="00E877CE">
        <w:t xml:space="preserve"> and kinetic energy</w:t>
      </w:r>
      <w:r w:rsidR="004726C9" w:rsidRPr="00E877CE">
        <w:t xml:space="preserve"> of each individual molecule</w:t>
      </w:r>
      <w:r w:rsidRPr="00E877CE">
        <w:t xml:space="preserve">.  </w:t>
      </w:r>
      <w:r w:rsidR="004726C9" w:rsidRPr="00E877CE">
        <w:t>You can i</w:t>
      </w:r>
      <w:r w:rsidR="00C51367" w:rsidRPr="00E877CE">
        <w:t xml:space="preserve">llustrate this </w:t>
      </w:r>
      <w:r w:rsidR="004726C9" w:rsidRPr="00E877CE">
        <w:t xml:space="preserve">point </w:t>
      </w:r>
      <w:r w:rsidR="00C51367" w:rsidRPr="00E877CE">
        <w:t>by</w:t>
      </w:r>
      <w:r w:rsidR="00E877CE">
        <w:t xml:space="preserve"> alternating between</w:t>
      </w:r>
      <w:r w:rsidR="00C51367" w:rsidRPr="00E877CE">
        <w:t xml:space="preserve"> pausing</w:t>
      </w:r>
      <w:r w:rsidR="00E877CE">
        <w:t xml:space="preserve"> and playing</w:t>
      </w:r>
      <w:r w:rsidR="00C51367" w:rsidRPr="00E877CE">
        <w:t xml:space="preserve"> the </w:t>
      </w:r>
      <w:proofErr w:type="spellStart"/>
      <w:r w:rsidR="00C51367" w:rsidRPr="00E877CE">
        <w:t>sim</w:t>
      </w:r>
      <w:proofErr w:type="spellEnd"/>
      <w:r w:rsidR="00C51367" w:rsidRPr="00E877CE">
        <w:t>, noting that</w:t>
      </w:r>
      <w:r w:rsidRPr="00E877CE">
        <w:t xml:space="preserve"> each time the </w:t>
      </w:r>
      <w:proofErr w:type="spellStart"/>
      <w:r w:rsidRPr="00E877CE">
        <w:t>sim</w:t>
      </w:r>
      <w:proofErr w:type="spellEnd"/>
      <w:r w:rsidRPr="00E877CE">
        <w:t xml:space="preserve"> is paused a different microstate is shown.</w:t>
      </w:r>
    </w:p>
    <w:p w14:paraId="43438FF3" w14:textId="77777777" w:rsidR="00E50704" w:rsidRDefault="00E50704" w:rsidP="005A182B">
      <w:pPr>
        <w:pStyle w:val="ListParagraph"/>
        <w:numPr>
          <w:ilvl w:val="0"/>
          <w:numId w:val="10"/>
        </w:numPr>
        <w:ind w:left="450"/>
      </w:pPr>
      <w:r>
        <w:t xml:space="preserve">Whether we begin with 50 molecules in one chamber, or 25 in each chamber, we end up with the same final macro-state.  In both cases, the number of microstates is the same since the number of particles is the same, and it must be a large number since there are many ways the molecules can be distributed across both sides to produce the same macro-state. </w:t>
      </w:r>
    </w:p>
    <w:p w14:paraId="560DEAC3" w14:textId="77777777" w:rsidR="00E50704" w:rsidRDefault="00E50704" w:rsidP="005A182B"/>
    <w:tbl>
      <w:tblPr>
        <w:tblStyle w:val="TableGrid"/>
        <w:tblW w:w="0" w:type="auto"/>
        <w:tblInd w:w="446" w:type="dxa"/>
        <w:tblLook w:val="04A0" w:firstRow="1" w:lastRow="0" w:firstColumn="1" w:lastColumn="0" w:noHBand="0" w:noVBand="1"/>
      </w:tblPr>
      <w:tblGrid>
        <w:gridCol w:w="9306"/>
      </w:tblGrid>
      <w:tr w:rsidR="00AF57F3" w14:paraId="31D52E69" w14:textId="77777777" w:rsidTr="005A182B">
        <w:tc>
          <w:tcPr>
            <w:tcW w:w="8856" w:type="dxa"/>
            <w:tcBorders>
              <w:bottom w:val="single" w:sz="4" w:space="0" w:color="auto"/>
            </w:tcBorders>
          </w:tcPr>
          <w:p w14:paraId="4FBD7242" w14:textId="44A0A2F6" w:rsidR="00AF57F3" w:rsidRDefault="00EE0D7A" w:rsidP="005A182B">
            <w:pPr>
              <w:ind w:left="450"/>
            </w:pPr>
            <w:r>
              <w:rPr>
                <w:noProof/>
              </w:rPr>
              <w:drawing>
                <wp:inline distT="0" distB="0" distL="0" distR="0" wp14:anchorId="00FD3742" wp14:editId="46B90FD1">
                  <wp:extent cx="5477510" cy="1231265"/>
                  <wp:effectExtent l="0" t="0" r="8890"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7510" cy="1231265"/>
                          </a:xfrm>
                          <a:prstGeom prst="rect">
                            <a:avLst/>
                          </a:prstGeom>
                          <a:noFill/>
                          <a:ln>
                            <a:noFill/>
                          </a:ln>
                        </pic:spPr>
                      </pic:pic>
                    </a:graphicData>
                  </a:graphic>
                </wp:inline>
              </w:drawing>
            </w:r>
          </w:p>
        </w:tc>
      </w:tr>
      <w:tr w:rsidR="00AF57F3" w:rsidRPr="00E128BA" w14:paraId="06B9835B" w14:textId="77777777" w:rsidTr="005A182B">
        <w:tc>
          <w:tcPr>
            <w:tcW w:w="8856" w:type="dxa"/>
            <w:tcBorders>
              <w:top w:val="single" w:sz="4" w:space="0" w:color="auto"/>
              <w:left w:val="nil"/>
              <w:bottom w:val="nil"/>
              <w:right w:val="nil"/>
            </w:tcBorders>
          </w:tcPr>
          <w:p w14:paraId="5A624337" w14:textId="63E0CAF8" w:rsidR="00AF57F3" w:rsidRPr="009A0166" w:rsidRDefault="00AF57F3" w:rsidP="009A0166">
            <w:pPr>
              <w:rPr>
                <w:rFonts w:asciiTheme="majorHAnsi" w:hAnsiTheme="majorHAnsi"/>
                <w:b/>
              </w:rPr>
            </w:pPr>
            <w:r w:rsidRPr="00E128BA">
              <w:rPr>
                <w:rFonts w:asciiTheme="majorHAnsi" w:hAnsiTheme="majorHAnsi"/>
                <w:b/>
              </w:rPr>
              <w:t>Slide 4:</w:t>
            </w:r>
            <w:r w:rsidR="00FF4FF9" w:rsidRPr="00E128BA">
              <w:rPr>
                <w:rFonts w:asciiTheme="majorHAnsi" w:hAnsiTheme="majorHAnsi"/>
                <w:b/>
              </w:rPr>
              <w:t xml:space="preserve"> </w:t>
            </w:r>
            <w:r w:rsidR="00E50704" w:rsidRPr="00E128BA">
              <w:rPr>
                <w:rFonts w:asciiTheme="majorHAnsi" w:hAnsiTheme="majorHAnsi"/>
                <w:b/>
              </w:rPr>
              <w:t>A Macroscopic Observation is Explained in Terms of Particle Motion and Microstates.</w:t>
            </w:r>
          </w:p>
        </w:tc>
      </w:tr>
    </w:tbl>
    <w:p w14:paraId="5448EFCC" w14:textId="0BF600F8" w:rsidR="00AF57F3" w:rsidRDefault="00AF57F3" w:rsidP="005A182B"/>
    <w:p w14:paraId="0D6BC74F" w14:textId="41D77F69" w:rsidR="002112EA" w:rsidRDefault="002112EA" w:rsidP="009A0166">
      <w:pPr>
        <w:tabs>
          <w:tab w:val="center" w:pos="270"/>
          <w:tab w:val="center" w:pos="450"/>
          <w:tab w:val="center" w:pos="720"/>
        </w:tabs>
        <w:ind w:left="446"/>
      </w:pPr>
      <w:r>
        <w:t xml:space="preserve">At this point students will have a sense that particle motion is leading to the most probable distribution.   </w:t>
      </w:r>
      <w:r w:rsidR="00E877CE">
        <w:t>Introducing how c</w:t>
      </w:r>
      <w:r>
        <w:t>alculations involving pro</w:t>
      </w:r>
      <w:r w:rsidR="00E877CE">
        <w:t>bability reinforce this point is a useful connection.</w:t>
      </w:r>
    </w:p>
    <w:p w14:paraId="45031E22" w14:textId="1FBE312B" w:rsidR="00980CF4" w:rsidRDefault="002112EA" w:rsidP="005A182B">
      <w:pPr>
        <w:pStyle w:val="ListParagraph"/>
        <w:numPr>
          <w:ilvl w:val="0"/>
          <w:numId w:val="15"/>
        </w:numPr>
        <w:ind w:left="450"/>
      </w:pPr>
      <w:r>
        <w:t>First, the probability</w:t>
      </w:r>
      <w:r w:rsidR="007F155E">
        <w:t xml:space="preserve"> of</w:t>
      </w:r>
      <w:r>
        <w:t xml:space="preserve"> two particles </w:t>
      </w:r>
      <w:r w:rsidR="007F155E">
        <w:t>being</w:t>
      </w:r>
      <w:r>
        <w:t xml:space="preserve"> found in the same ch</w:t>
      </w:r>
      <w:r w:rsidR="00980CF4">
        <w:t xml:space="preserve">amber is investigated (Slide 5); given the “before” condition, what are the odds of the “after” occurring?   </w:t>
      </w:r>
    </w:p>
    <w:p w14:paraId="52C5563D" w14:textId="77777777" w:rsidR="00980CF4" w:rsidRDefault="00980CF4" w:rsidP="005A182B">
      <w:pPr>
        <w:pStyle w:val="ListParagraph"/>
        <w:numPr>
          <w:ilvl w:val="0"/>
          <w:numId w:val="15"/>
        </w:numPr>
        <w:ind w:left="450"/>
      </w:pPr>
      <w:r>
        <w:t xml:space="preserve"> </w:t>
      </w:r>
      <w:r w:rsidR="002112EA">
        <w:t xml:space="preserve">The probability of having two molecules in the left chamber is fairly high.  To illustrate this, start the </w:t>
      </w:r>
      <w:proofErr w:type="spellStart"/>
      <w:r w:rsidR="002112EA">
        <w:t>sim</w:t>
      </w:r>
      <w:proofErr w:type="spellEnd"/>
      <w:r w:rsidR="002112EA">
        <w:t xml:space="preserve"> and ask the class to </w:t>
      </w:r>
      <w:r w:rsidR="002112EA" w:rsidRPr="002112EA">
        <w:rPr>
          <w:i/>
        </w:rPr>
        <w:t>cheer</w:t>
      </w:r>
      <w:r w:rsidR="002112EA">
        <w:t xml:space="preserve"> whenever both molecules are on the left side; the color-coding of the spheres helps to determine this.  </w:t>
      </w:r>
    </w:p>
    <w:p w14:paraId="33879793" w14:textId="66F3D62C" w:rsidR="002112EA" w:rsidRDefault="002112EA" w:rsidP="005A182B">
      <w:pPr>
        <w:pStyle w:val="ListParagraph"/>
        <w:numPr>
          <w:ilvl w:val="0"/>
          <w:numId w:val="15"/>
        </w:numPr>
        <w:ind w:left="450"/>
      </w:pPr>
      <w:r>
        <w:t xml:space="preserve">After observing and interacting with the </w:t>
      </w:r>
      <w:proofErr w:type="spellStart"/>
      <w:r>
        <w:t>sim</w:t>
      </w:r>
      <w:proofErr w:type="spellEnd"/>
      <w:r>
        <w:t xml:space="preserve"> for a little while, th</w:t>
      </w:r>
      <w:r w:rsidR="009A0166">
        <w:t>e calculation may be introduced.</w:t>
      </w:r>
    </w:p>
    <w:tbl>
      <w:tblPr>
        <w:tblStyle w:val="TableGrid"/>
        <w:tblW w:w="0" w:type="auto"/>
        <w:tblInd w:w="446" w:type="dxa"/>
        <w:tblLook w:val="04A0" w:firstRow="1" w:lastRow="0" w:firstColumn="1" w:lastColumn="0" w:noHBand="0" w:noVBand="1"/>
      </w:tblPr>
      <w:tblGrid>
        <w:gridCol w:w="9306"/>
      </w:tblGrid>
      <w:tr w:rsidR="002112EA" w14:paraId="6F520C9F" w14:textId="77777777" w:rsidTr="005A182B">
        <w:tc>
          <w:tcPr>
            <w:tcW w:w="8856" w:type="dxa"/>
            <w:tcBorders>
              <w:bottom w:val="single" w:sz="4" w:space="0" w:color="auto"/>
            </w:tcBorders>
          </w:tcPr>
          <w:p w14:paraId="690B3DE3" w14:textId="77777777" w:rsidR="002112EA" w:rsidRDefault="002112EA" w:rsidP="005A182B">
            <w:pPr>
              <w:ind w:left="450"/>
            </w:pPr>
            <w:r>
              <w:rPr>
                <w:noProof/>
              </w:rPr>
              <w:lastRenderedPageBreak/>
              <w:drawing>
                <wp:inline distT="0" distB="0" distL="0" distR="0" wp14:anchorId="4DAD4133" wp14:editId="0AAB1141">
                  <wp:extent cx="5477510" cy="4128135"/>
                  <wp:effectExtent l="0" t="0" r="8890" b="12065"/>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7510" cy="4128135"/>
                          </a:xfrm>
                          <a:prstGeom prst="rect">
                            <a:avLst/>
                          </a:prstGeom>
                          <a:noFill/>
                          <a:ln>
                            <a:noFill/>
                          </a:ln>
                        </pic:spPr>
                      </pic:pic>
                    </a:graphicData>
                  </a:graphic>
                </wp:inline>
              </w:drawing>
            </w:r>
          </w:p>
        </w:tc>
      </w:tr>
      <w:tr w:rsidR="002112EA" w:rsidRPr="00E128BA" w14:paraId="0656DEC8" w14:textId="77777777" w:rsidTr="005A182B">
        <w:tc>
          <w:tcPr>
            <w:tcW w:w="8856" w:type="dxa"/>
            <w:tcBorders>
              <w:top w:val="single" w:sz="4" w:space="0" w:color="auto"/>
              <w:left w:val="nil"/>
              <w:bottom w:val="nil"/>
              <w:right w:val="nil"/>
            </w:tcBorders>
          </w:tcPr>
          <w:p w14:paraId="28DECC78" w14:textId="061FEDD4" w:rsidR="002112EA" w:rsidRPr="00E128BA" w:rsidRDefault="00F66C88" w:rsidP="009A0166">
            <w:pPr>
              <w:rPr>
                <w:rFonts w:asciiTheme="majorHAnsi" w:hAnsiTheme="majorHAnsi"/>
                <w:b/>
              </w:rPr>
            </w:pPr>
            <w:r w:rsidRPr="00E128BA">
              <w:rPr>
                <w:rFonts w:asciiTheme="majorHAnsi" w:hAnsiTheme="majorHAnsi"/>
                <w:b/>
              </w:rPr>
              <w:t>Slide 5</w:t>
            </w:r>
            <w:r w:rsidR="002112EA" w:rsidRPr="00E128BA">
              <w:rPr>
                <w:rFonts w:asciiTheme="majorHAnsi" w:hAnsiTheme="majorHAnsi"/>
                <w:b/>
              </w:rPr>
              <w:t xml:space="preserve">: </w:t>
            </w:r>
            <w:r w:rsidR="00265AE4" w:rsidRPr="00E128BA">
              <w:rPr>
                <w:rFonts w:asciiTheme="majorHAnsi" w:hAnsiTheme="majorHAnsi"/>
                <w:b/>
              </w:rPr>
              <w:t>Given the “Before” Distribution, Calculate the Probability of the “After”.</w:t>
            </w:r>
          </w:p>
        </w:tc>
      </w:tr>
    </w:tbl>
    <w:p w14:paraId="052EDEDF" w14:textId="77777777" w:rsidR="002112EA" w:rsidRDefault="002112EA" w:rsidP="005A182B"/>
    <w:p w14:paraId="715D72ED" w14:textId="15E182E0" w:rsidR="00AF57F3" w:rsidRDefault="002112EA" w:rsidP="005A182B">
      <w:pPr>
        <w:pStyle w:val="ListParagraph"/>
        <w:numPr>
          <w:ilvl w:val="0"/>
          <w:numId w:val="11"/>
        </w:numPr>
        <w:ind w:left="450"/>
      </w:pPr>
      <w:r>
        <w:t xml:space="preserve">Move on to four molecules.  Is it likely to have all four molecules in the left chamber?  </w:t>
      </w:r>
      <w:r w:rsidR="00265AE4">
        <w:t xml:space="preserve">Once again, ask the students cheer when (if) this occurs.  After observing the </w:t>
      </w:r>
      <w:proofErr w:type="spellStart"/>
      <w:r w:rsidR="00265AE4">
        <w:t>sim</w:t>
      </w:r>
      <w:proofErr w:type="spellEnd"/>
      <w:r w:rsidR="00265AE4">
        <w:t xml:space="preserve"> for a little while, the calculation may be introduced.  In this case, t</w:t>
      </w:r>
      <w:r>
        <w:t xml:space="preserve">he odds are 1-in-16. </w:t>
      </w:r>
    </w:p>
    <w:p w14:paraId="7F7AB432" w14:textId="126B47B2" w:rsidR="00265AE4" w:rsidRDefault="00265AE4" w:rsidP="005A182B">
      <w:pPr>
        <w:pStyle w:val="ListParagraph"/>
        <w:numPr>
          <w:ilvl w:val="0"/>
          <w:numId w:val="11"/>
        </w:numPr>
        <w:ind w:left="450"/>
      </w:pPr>
      <w:r>
        <w:t xml:space="preserve">Finally, move on to forty molecules.  Once again, start the </w:t>
      </w:r>
      <w:proofErr w:type="spellStart"/>
      <w:r>
        <w:t>sim</w:t>
      </w:r>
      <w:proofErr w:type="spellEnd"/>
      <w:r>
        <w:t xml:space="preserve"> and ask the class to cheer if all of the molecules are in the same side.   After a few moments have students calculate the probability.  </w:t>
      </w:r>
    </w:p>
    <w:p w14:paraId="290EEFA7" w14:textId="75A0BEC1" w:rsidR="00AF57F3" w:rsidRDefault="00265AE4" w:rsidP="005A182B">
      <w:pPr>
        <w:pStyle w:val="ListParagraph"/>
        <w:numPr>
          <w:ilvl w:val="0"/>
          <w:numId w:val="11"/>
        </w:numPr>
        <w:ind w:left="450"/>
      </w:pPr>
      <w:r>
        <w:t xml:space="preserve">Indicate that forty molecules is still an extremely small number.  What if a mole of gas were present?  That fact that most calculators give an “error message” when performing this final calculation reinforces the fact that the probability for such an event is so low the chance of it occurring spontaneously is essentially zero. </w:t>
      </w:r>
    </w:p>
    <w:p w14:paraId="27FA201E" w14:textId="22263D22" w:rsidR="005971AC" w:rsidRDefault="00F66C88" w:rsidP="005A182B">
      <w:pPr>
        <w:tabs>
          <w:tab w:val="center" w:pos="270"/>
          <w:tab w:val="center" w:pos="450"/>
          <w:tab w:val="center" w:pos="720"/>
        </w:tabs>
        <w:ind w:left="446"/>
      </w:pPr>
      <w:r>
        <w:t>If slide 5</w:t>
      </w:r>
      <w:r w:rsidR="005971AC">
        <w:t xml:space="preserve"> is omitted, a </w:t>
      </w:r>
      <w:r>
        <w:t xml:space="preserve">different version </w:t>
      </w:r>
      <w:r w:rsidR="005971AC">
        <w:t xml:space="preserve">may be used to </w:t>
      </w:r>
      <w:r>
        <w:t>check for understanding (Slide 6</w:t>
      </w:r>
      <w:r w:rsidR="005971AC">
        <w:t>) after the concept of probability has been introduced.</w:t>
      </w:r>
    </w:p>
    <w:tbl>
      <w:tblPr>
        <w:tblStyle w:val="TableGrid"/>
        <w:tblW w:w="0" w:type="auto"/>
        <w:tblInd w:w="446" w:type="dxa"/>
        <w:tblLook w:val="04A0" w:firstRow="1" w:lastRow="0" w:firstColumn="1" w:lastColumn="0" w:noHBand="0" w:noVBand="1"/>
      </w:tblPr>
      <w:tblGrid>
        <w:gridCol w:w="9306"/>
      </w:tblGrid>
      <w:tr w:rsidR="005971AC" w14:paraId="40BCDE5D" w14:textId="77777777" w:rsidTr="005A182B">
        <w:tc>
          <w:tcPr>
            <w:tcW w:w="8856" w:type="dxa"/>
          </w:tcPr>
          <w:p w14:paraId="13084E9F" w14:textId="4B67E914" w:rsidR="005971AC" w:rsidRDefault="005971AC" w:rsidP="005A182B">
            <w:pPr>
              <w:ind w:left="450"/>
            </w:pPr>
            <w:r>
              <w:rPr>
                <w:noProof/>
              </w:rPr>
              <w:lastRenderedPageBreak/>
              <w:drawing>
                <wp:inline distT="0" distB="0" distL="0" distR="0" wp14:anchorId="24C407EE" wp14:editId="5AAA1EAE">
                  <wp:extent cx="5477510" cy="3992880"/>
                  <wp:effectExtent l="0" t="0" r="889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7510" cy="3992880"/>
                          </a:xfrm>
                          <a:prstGeom prst="rect">
                            <a:avLst/>
                          </a:prstGeom>
                          <a:noFill/>
                          <a:ln>
                            <a:noFill/>
                          </a:ln>
                        </pic:spPr>
                      </pic:pic>
                    </a:graphicData>
                  </a:graphic>
                </wp:inline>
              </w:drawing>
            </w:r>
          </w:p>
        </w:tc>
      </w:tr>
    </w:tbl>
    <w:p w14:paraId="650E42CE" w14:textId="7547B54F" w:rsidR="005971AC" w:rsidRPr="00E128BA" w:rsidRDefault="00F66C88" w:rsidP="005A182B">
      <w:pPr>
        <w:ind w:left="450"/>
        <w:rPr>
          <w:rFonts w:asciiTheme="majorHAnsi" w:hAnsiTheme="majorHAnsi"/>
          <w:b/>
        </w:rPr>
      </w:pPr>
      <w:r w:rsidRPr="00E128BA">
        <w:rPr>
          <w:rFonts w:asciiTheme="majorHAnsi" w:hAnsiTheme="majorHAnsi"/>
          <w:b/>
        </w:rPr>
        <w:t>Slide 6</w:t>
      </w:r>
      <w:r w:rsidR="005971AC" w:rsidRPr="00E128BA">
        <w:rPr>
          <w:rFonts w:asciiTheme="majorHAnsi" w:hAnsiTheme="majorHAnsi"/>
          <w:b/>
        </w:rPr>
        <w:t>:  Examining Probability and Spontaneous Particle Motion for Different Number of</w:t>
      </w:r>
      <w:r w:rsidR="005971AC" w:rsidRPr="004B3DF7">
        <w:rPr>
          <w:b/>
        </w:rPr>
        <w:t xml:space="preserve"> </w:t>
      </w:r>
      <w:r w:rsidR="005971AC" w:rsidRPr="00E128BA">
        <w:rPr>
          <w:rFonts w:asciiTheme="majorHAnsi" w:hAnsiTheme="majorHAnsi"/>
          <w:b/>
        </w:rPr>
        <w:t>Molecules.</w:t>
      </w:r>
    </w:p>
    <w:p w14:paraId="0D5755BB" w14:textId="77777777" w:rsidR="00123A7A" w:rsidRDefault="00123A7A" w:rsidP="005A182B"/>
    <w:p w14:paraId="1ACDC521" w14:textId="3049B44F" w:rsidR="00C341E9" w:rsidRDefault="00C341E9" w:rsidP="005A182B">
      <w:pPr>
        <w:tabs>
          <w:tab w:val="center" w:pos="270"/>
          <w:tab w:val="center" w:pos="450"/>
          <w:tab w:val="center" w:pos="720"/>
        </w:tabs>
        <w:ind w:left="446"/>
      </w:pPr>
      <w:r>
        <w:t xml:space="preserve">Images from the </w:t>
      </w:r>
      <w:proofErr w:type="spellStart"/>
      <w:r>
        <w:t>sim</w:t>
      </w:r>
      <w:proofErr w:type="spellEnd"/>
      <w:r>
        <w:t xml:space="preserve"> may be used to connect the concepts of particle motion, heat transfer, and spontaneity</w:t>
      </w:r>
      <w:r w:rsidR="00F66C88">
        <w:t xml:space="preserve"> and probability (Slide 7</w:t>
      </w:r>
      <w:r>
        <w:t xml:space="preserve">).  </w:t>
      </w:r>
    </w:p>
    <w:p w14:paraId="0347DF67" w14:textId="77777777" w:rsidR="00C341E9" w:rsidRDefault="00C341E9" w:rsidP="005A182B">
      <w:pPr>
        <w:pStyle w:val="ListParagraph"/>
        <w:numPr>
          <w:ilvl w:val="0"/>
          <w:numId w:val="16"/>
        </w:numPr>
        <w:ind w:left="450"/>
      </w:pPr>
      <w:r>
        <w:t xml:space="preserve">In this example, students observe that particle motion increased in the left chamber going from initial to final state, and the right chamber’s thermometer reads 300K in the final state.   </w:t>
      </w:r>
    </w:p>
    <w:p w14:paraId="4509321A" w14:textId="2EAD9E30" w:rsidR="00C341E9" w:rsidRDefault="00C341E9" w:rsidP="009A0166">
      <w:pPr>
        <w:pStyle w:val="ListParagraph"/>
        <w:numPr>
          <w:ilvl w:val="0"/>
          <w:numId w:val="16"/>
        </w:numPr>
        <w:ind w:left="450"/>
      </w:pPr>
      <w:r>
        <w:t>The initial temperature in the right chamber must have been &gt;300K.  The spontaneous process, the one leading to the most probable state, has the particle motion increasing in the left chamber and decreasing in the right.</w:t>
      </w:r>
    </w:p>
    <w:tbl>
      <w:tblPr>
        <w:tblStyle w:val="TableGrid"/>
        <w:tblW w:w="0" w:type="auto"/>
        <w:tblInd w:w="446" w:type="dxa"/>
        <w:tblLook w:val="04A0" w:firstRow="1" w:lastRow="0" w:firstColumn="1" w:lastColumn="0" w:noHBand="0" w:noVBand="1"/>
      </w:tblPr>
      <w:tblGrid>
        <w:gridCol w:w="9306"/>
      </w:tblGrid>
      <w:tr w:rsidR="00C341E9" w14:paraId="3D271791" w14:textId="77777777" w:rsidTr="005A182B">
        <w:tc>
          <w:tcPr>
            <w:tcW w:w="8856" w:type="dxa"/>
          </w:tcPr>
          <w:p w14:paraId="24CF3B6A" w14:textId="0F50B05A" w:rsidR="00C341E9" w:rsidRDefault="00C341E9" w:rsidP="005A182B">
            <w:pPr>
              <w:ind w:left="450"/>
            </w:pPr>
            <w:r>
              <w:rPr>
                <w:noProof/>
              </w:rPr>
              <w:lastRenderedPageBreak/>
              <w:drawing>
                <wp:inline distT="0" distB="0" distL="0" distR="0" wp14:anchorId="2176E6CF" wp14:editId="0EC0A398">
                  <wp:extent cx="5486400" cy="404685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4046855"/>
                          </a:xfrm>
                          <a:prstGeom prst="rect">
                            <a:avLst/>
                          </a:prstGeom>
                          <a:noFill/>
                          <a:ln>
                            <a:noFill/>
                          </a:ln>
                        </pic:spPr>
                      </pic:pic>
                    </a:graphicData>
                  </a:graphic>
                </wp:inline>
              </w:drawing>
            </w:r>
          </w:p>
        </w:tc>
      </w:tr>
    </w:tbl>
    <w:p w14:paraId="0B047BE3" w14:textId="3B9A33B6" w:rsidR="00570F38" w:rsidRPr="00E128BA" w:rsidRDefault="00F66C88">
      <w:pPr>
        <w:ind w:left="450"/>
        <w:rPr>
          <w:rFonts w:asciiTheme="majorHAnsi" w:hAnsiTheme="majorHAnsi"/>
          <w:b/>
        </w:rPr>
      </w:pPr>
      <w:r w:rsidRPr="00E128BA">
        <w:rPr>
          <w:rFonts w:asciiTheme="majorHAnsi" w:hAnsiTheme="majorHAnsi"/>
          <w:b/>
        </w:rPr>
        <w:t>Slide 7</w:t>
      </w:r>
      <w:r w:rsidR="00C935F5" w:rsidRPr="00E128BA">
        <w:rPr>
          <w:rFonts w:asciiTheme="majorHAnsi" w:hAnsiTheme="majorHAnsi"/>
          <w:b/>
        </w:rPr>
        <w:t>:  Considering Change in Particle Motion due to Energy Transfer.</w:t>
      </w:r>
    </w:p>
    <w:sectPr w:rsidR="00570F38" w:rsidRPr="00E128BA" w:rsidSect="00760C49">
      <w:headerReference w:type="default" r:id="rId19"/>
      <w:footerReference w:type="default" r:id="rId20"/>
      <w:headerReference w:type="first" r:id="rId21"/>
      <w:footerReference w:type="first" r:id="rId22"/>
      <w:pgSz w:w="12240" w:h="15840"/>
      <w:pgMar w:top="1354" w:right="1080" w:bottom="1440" w:left="1080" w:header="288" w:footer="144"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D165730"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189DCA" w14:textId="77777777" w:rsidR="00301460" w:rsidRDefault="00301460" w:rsidP="00760C49">
      <w:r>
        <w:separator/>
      </w:r>
    </w:p>
  </w:endnote>
  <w:endnote w:type="continuationSeparator" w:id="0">
    <w:p w14:paraId="487925AC" w14:textId="77777777" w:rsidR="00301460" w:rsidRDefault="00301460" w:rsidP="00760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altName w:val="Times New Roman"/>
    <w:panose1 w:val="020B0600040502020204"/>
    <w:charset w:val="00"/>
    <w:family w:val="auto"/>
    <w:pitch w:val="variable"/>
    <w:sig w:usb0="E1000AEF" w:usb1="5000A1FF" w:usb2="00000000" w:usb3="00000000" w:csb0="000001BF" w:csb1="00000000"/>
  </w:font>
  <w:font w:name="Arial">
    <w:altName w:val="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CellMar>
        <w:top w:w="144" w:type="dxa"/>
        <w:left w:w="115" w:type="dxa"/>
        <w:bottom w:w="144" w:type="dxa"/>
        <w:right w:w="115" w:type="dxa"/>
      </w:tblCellMar>
      <w:tblLook w:val="06A0" w:firstRow="1" w:lastRow="0" w:firstColumn="1" w:lastColumn="0" w:noHBand="1" w:noVBand="1"/>
    </w:tblPr>
    <w:tblGrid>
      <w:gridCol w:w="4781"/>
      <w:gridCol w:w="1094"/>
      <w:gridCol w:w="4435"/>
    </w:tblGrid>
    <w:tr w:rsidR="00301460" w14:paraId="24FEB78B" w14:textId="77777777" w:rsidTr="00C25876">
      <w:trPr>
        <w:gridAfter w:val="2"/>
        <w:wAfter w:w="5529" w:type="dxa"/>
        <w:trHeight w:hRule="exact" w:val="66"/>
        <w:jc w:val="center"/>
      </w:trPr>
      <w:tc>
        <w:tcPr>
          <w:tcW w:w="4781" w:type="dxa"/>
          <w:shd w:val="clear" w:color="auto" w:fill="auto"/>
          <w:tcMar>
            <w:top w:w="0" w:type="dxa"/>
            <w:bottom w:w="0" w:type="dxa"/>
          </w:tcMar>
        </w:tcPr>
        <w:p w14:paraId="2B98EE67" w14:textId="77777777" w:rsidR="00301460" w:rsidRDefault="00301460" w:rsidP="00E128BA">
          <w:pPr>
            <w:pStyle w:val="Header"/>
            <w:tabs>
              <w:tab w:val="clear" w:pos="4680"/>
              <w:tab w:val="clear" w:pos="9360"/>
            </w:tabs>
            <w:jc w:val="right"/>
            <w:rPr>
              <w:caps/>
              <w:sz w:val="18"/>
            </w:rPr>
          </w:pPr>
        </w:p>
      </w:tc>
    </w:tr>
    <w:tr w:rsidR="00301460" w14:paraId="12F5D6F5" w14:textId="77777777" w:rsidTr="00C25876">
      <w:trPr>
        <w:gridAfter w:val="2"/>
        <w:wAfter w:w="5529" w:type="dxa"/>
        <w:trHeight w:hRule="exact" w:val="66"/>
        <w:jc w:val="center"/>
      </w:trPr>
      <w:tc>
        <w:tcPr>
          <w:tcW w:w="4781" w:type="dxa"/>
          <w:shd w:val="clear" w:color="auto" w:fill="auto"/>
          <w:tcMar>
            <w:top w:w="0" w:type="dxa"/>
            <w:bottom w:w="0" w:type="dxa"/>
          </w:tcMar>
        </w:tcPr>
        <w:p w14:paraId="5AD405F8" w14:textId="77777777" w:rsidR="00301460" w:rsidRDefault="00301460" w:rsidP="00E128BA">
          <w:pPr>
            <w:pStyle w:val="Header"/>
            <w:tabs>
              <w:tab w:val="clear" w:pos="4680"/>
              <w:tab w:val="clear" w:pos="9360"/>
            </w:tabs>
            <w:jc w:val="right"/>
            <w:rPr>
              <w:caps/>
              <w:sz w:val="18"/>
            </w:rPr>
          </w:pPr>
        </w:p>
      </w:tc>
    </w:tr>
    <w:tr w:rsidR="00301460" w14:paraId="515E91BE" w14:textId="77777777" w:rsidTr="00C25876">
      <w:trPr>
        <w:jc w:val="center"/>
      </w:trPr>
      <w:sdt>
        <w:sdtPr>
          <w:rPr>
            <w:caps/>
            <w:color w:val="808080" w:themeColor="background1" w:themeShade="80"/>
          </w:rPr>
          <w:alias w:val="Author"/>
          <w:tag w:val=""/>
          <w:id w:val="-1051610442"/>
          <w:placeholder>
            <w:docPart w:val="4644259B16754016B85F9B872A41B402"/>
          </w:placeholder>
          <w:dataBinding w:prefixMappings="xmlns:ns0='http://purl.org/dc/elements/1.1/' xmlns:ns1='http://schemas.openxmlformats.org/package/2006/metadata/core-properties' " w:xpath="/ns1:coreProperties[1]/ns0:creator[1]" w:storeItemID="{6C3C8BC8-F283-45AE-878A-BAB7291924A1}"/>
          <w:text/>
        </w:sdtPr>
        <w:sdtEndPr/>
        <w:sdtContent>
          <w:tc>
            <w:tcPr>
              <w:tcW w:w="5875" w:type="dxa"/>
              <w:gridSpan w:val="2"/>
              <w:tcBorders>
                <w:top w:val="single" w:sz="4" w:space="0" w:color="auto"/>
              </w:tcBorders>
              <w:shd w:val="clear" w:color="auto" w:fill="auto"/>
              <w:vAlign w:val="center"/>
            </w:tcPr>
            <w:p w14:paraId="7C444300" w14:textId="77777777" w:rsidR="00301460" w:rsidRDefault="00301460" w:rsidP="00E128BA">
              <w:pPr>
                <w:pStyle w:val="Footer"/>
                <w:tabs>
                  <w:tab w:val="clear" w:pos="4680"/>
                  <w:tab w:val="clear" w:pos="9360"/>
                </w:tabs>
                <w:rPr>
                  <w:caps/>
                  <w:color w:val="808080" w:themeColor="background1" w:themeShade="80"/>
                  <w:sz w:val="18"/>
                  <w:szCs w:val="18"/>
                </w:rPr>
              </w:pPr>
              <w:r w:rsidRPr="00E128BA">
                <w:rPr>
                  <w:caps/>
                  <w:color w:val="808080" w:themeColor="background1" w:themeShade="80"/>
                </w:rPr>
                <w:t>Entropy, microstates, and probability</w:t>
              </w:r>
            </w:p>
          </w:tc>
        </w:sdtContent>
      </w:sdt>
      <w:tc>
        <w:tcPr>
          <w:tcW w:w="4435" w:type="dxa"/>
          <w:tcBorders>
            <w:top w:val="single" w:sz="4" w:space="0" w:color="auto"/>
          </w:tcBorders>
          <w:shd w:val="clear" w:color="auto" w:fill="auto"/>
          <w:vAlign w:val="center"/>
        </w:tcPr>
        <w:p w14:paraId="61CB5A93" w14:textId="77777777" w:rsidR="00301460" w:rsidRPr="00F56BCD" w:rsidRDefault="00301460" w:rsidP="00E128BA">
          <w:pPr>
            <w:pStyle w:val="Footer"/>
            <w:tabs>
              <w:tab w:val="clear" w:pos="4680"/>
              <w:tab w:val="clear" w:pos="9360"/>
            </w:tabs>
            <w:jc w:val="right"/>
            <w:rPr>
              <w:caps/>
              <w:color w:val="808080" w:themeColor="background1" w:themeShade="80"/>
              <w:szCs w:val="18"/>
            </w:rPr>
          </w:pPr>
          <w:r w:rsidRPr="00F56BCD">
            <w:rPr>
              <w:caps/>
              <w:color w:val="808080" w:themeColor="background1" w:themeShade="80"/>
              <w:szCs w:val="18"/>
            </w:rPr>
            <w:fldChar w:fldCharType="begin"/>
          </w:r>
          <w:r w:rsidRPr="00F56BCD">
            <w:rPr>
              <w:caps/>
              <w:color w:val="808080" w:themeColor="background1" w:themeShade="80"/>
              <w:szCs w:val="18"/>
            </w:rPr>
            <w:instrText xml:space="preserve"> PAGE   \* MERGEFORMAT </w:instrText>
          </w:r>
          <w:r w:rsidRPr="00F56BCD">
            <w:rPr>
              <w:caps/>
              <w:color w:val="808080" w:themeColor="background1" w:themeShade="80"/>
              <w:szCs w:val="18"/>
            </w:rPr>
            <w:fldChar w:fldCharType="separate"/>
          </w:r>
          <w:r w:rsidR="001B0BF6">
            <w:rPr>
              <w:caps/>
              <w:noProof/>
              <w:color w:val="808080" w:themeColor="background1" w:themeShade="80"/>
              <w:szCs w:val="18"/>
            </w:rPr>
            <w:t>6</w:t>
          </w:r>
          <w:r w:rsidRPr="00F56BCD">
            <w:rPr>
              <w:caps/>
              <w:noProof/>
              <w:color w:val="808080" w:themeColor="background1" w:themeShade="80"/>
              <w:szCs w:val="18"/>
            </w:rPr>
            <w:fldChar w:fldCharType="end"/>
          </w:r>
        </w:p>
      </w:tc>
    </w:tr>
  </w:tbl>
  <w:p w14:paraId="3E410D55" w14:textId="77777777" w:rsidR="00301460" w:rsidRDefault="0030146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CellMar>
        <w:top w:w="144" w:type="dxa"/>
        <w:left w:w="115" w:type="dxa"/>
        <w:bottom w:w="144" w:type="dxa"/>
        <w:right w:w="115" w:type="dxa"/>
      </w:tblCellMar>
      <w:tblLook w:val="06A0" w:firstRow="1" w:lastRow="0" w:firstColumn="1" w:lastColumn="0" w:noHBand="1" w:noVBand="1"/>
    </w:tblPr>
    <w:tblGrid>
      <w:gridCol w:w="4781"/>
      <w:gridCol w:w="1094"/>
      <w:gridCol w:w="4435"/>
    </w:tblGrid>
    <w:tr w:rsidR="00301460" w14:paraId="30FAFE07" w14:textId="77777777" w:rsidTr="00C25876">
      <w:trPr>
        <w:gridAfter w:val="2"/>
        <w:wAfter w:w="5529" w:type="dxa"/>
        <w:trHeight w:hRule="exact" w:val="66"/>
        <w:jc w:val="center"/>
      </w:trPr>
      <w:tc>
        <w:tcPr>
          <w:tcW w:w="4781" w:type="dxa"/>
          <w:shd w:val="clear" w:color="auto" w:fill="auto"/>
          <w:tcMar>
            <w:top w:w="0" w:type="dxa"/>
            <w:bottom w:w="0" w:type="dxa"/>
          </w:tcMar>
        </w:tcPr>
        <w:p w14:paraId="395FF306" w14:textId="77777777" w:rsidR="00301460" w:rsidRDefault="00301460" w:rsidP="00760C49">
          <w:pPr>
            <w:pStyle w:val="Header"/>
            <w:tabs>
              <w:tab w:val="clear" w:pos="4680"/>
              <w:tab w:val="clear" w:pos="9360"/>
            </w:tabs>
            <w:jc w:val="right"/>
            <w:rPr>
              <w:caps/>
              <w:sz w:val="18"/>
            </w:rPr>
          </w:pPr>
        </w:p>
      </w:tc>
    </w:tr>
    <w:tr w:rsidR="00301460" w14:paraId="43D51DEC" w14:textId="77777777" w:rsidTr="00C25876">
      <w:trPr>
        <w:gridAfter w:val="2"/>
        <w:wAfter w:w="5529" w:type="dxa"/>
        <w:trHeight w:hRule="exact" w:val="66"/>
        <w:jc w:val="center"/>
      </w:trPr>
      <w:tc>
        <w:tcPr>
          <w:tcW w:w="4781" w:type="dxa"/>
          <w:shd w:val="clear" w:color="auto" w:fill="auto"/>
          <w:tcMar>
            <w:top w:w="0" w:type="dxa"/>
            <w:bottom w:w="0" w:type="dxa"/>
          </w:tcMar>
        </w:tcPr>
        <w:p w14:paraId="27F02C02" w14:textId="77777777" w:rsidR="00301460" w:rsidRDefault="00301460" w:rsidP="00760C49">
          <w:pPr>
            <w:pStyle w:val="Header"/>
            <w:tabs>
              <w:tab w:val="clear" w:pos="4680"/>
              <w:tab w:val="clear" w:pos="9360"/>
            </w:tabs>
            <w:jc w:val="right"/>
            <w:rPr>
              <w:caps/>
              <w:sz w:val="18"/>
            </w:rPr>
          </w:pPr>
        </w:p>
      </w:tc>
    </w:tr>
    <w:tr w:rsidR="00301460" w14:paraId="295FC3DD" w14:textId="77777777" w:rsidTr="00C25876">
      <w:trPr>
        <w:jc w:val="center"/>
      </w:trPr>
      <w:sdt>
        <w:sdtPr>
          <w:rPr>
            <w:caps/>
            <w:color w:val="808080" w:themeColor="background1" w:themeShade="80"/>
          </w:rPr>
          <w:alias w:val="Author"/>
          <w:tag w:val=""/>
          <w:id w:val="-2086440312"/>
          <w:dataBinding w:prefixMappings="xmlns:ns0='http://purl.org/dc/elements/1.1/' xmlns:ns1='http://schemas.openxmlformats.org/package/2006/metadata/core-properties' " w:xpath="/ns1:coreProperties[1]/ns0:creator[1]" w:storeItemID="{6C3C8BC8-F283-45AE-878A-BAB7291924A1}"/>
          <w:text/>
        </w:sdtPr>
        <w:sdtEndPr/>
        <w:sdtContent>
          <w:tc>
            <w:tcPr>
              <w:tcW w:w="5875" w:type="dxa"/>
              <w:gridSpan w:val="2"/>
              <w:tcBorders>
                <w:top w:val="single" w:sz="4" w:space="0" w:color="auto"/>
              </w:tcBorders>
              <w:shd w:val="clear" w:color="auto" w:fill="auto"/>
              <w:vAlign w:val="center"/>
            </w:tcPr>
            <w:p w14:paraId="61E9AE5D" w14:textId="740873B4" w:rsidR="00301460" w:rsidRDefault="00301460" w:rsidP="00760C49">
              <w:pPr>
                <w:pStyle w:val="Footer"/>
                <w:tabs>
                  <w:tab w:val="clear" w:pos="4680"/>
                  <w:tab w:val="clear" w:pos="9360"/>
                </w:tabs>
                <w:rPr>
                  <w:caps/>
                  <w:color w:val="808080" w:themeColor="background1" w:themeShade="80"/>
                  <w:sz w:val="18"/>
                  <w:szCs w:val="18"/>
                </w:rPr>
              </w:pPr>
              <w:r w:rsidRPr="00E128BA">
                <w:rPr>
                  <w:caps/>
                  <w:color w:val="808080" w:themeColor="background1" w:themeShade="80"/>
                </w:rPr>
                <w:t>Entropy, microstates, and probability</w:t>
              </w:r>
            </w:p>
          </w:tc>
        </w:sdtContent>
      </w:sdt>
      <w:tc>
        <w:tcPr>
          <w:tcW w:w="4435" w:type="dxa"/>
          <w:tcBorders>
            <w:top w:val="single" w:sz="4" w:space="0" w:color="auto"/>
          </w:tcBorders>
          <w:shd w:val="clear" w:color="auto" w:fill="auto"/>
          <w:vAlign w:val="center"/>
        </w:tcPr>
        <w:p w14:paraId="5CD31880" w14:textId="77777777" w:rsidR="00301460" w:rsidRPr="00F56BCD" w:rsidRDefault="00301460" w:rsidP="00760C49">
          <w:pPr>
            <w:pStyle w:val="Footer"/>
            <w:tabs>
              <w:tab w:val="clear" w:pos="4680"/>
              <w:tab w:val="clear" w:pos="9360"/>
            </w:tabs>
            <w:jc w:val="right"/>
            <w:rPr>
              <w:caps/>
              <w:color w:val="808080" w:themeColor="background1" w:themeShade="80"/>
              <w:szCs w:val="18"/>
            </w:rPr>
          </w:pPr>
          <w:r w:rsidRPr="00F56BCD">
            <w:rPr>
              <w:caps/>
              <w:color w:val="808080" w:themeColor="background1" w:themeShade="80"/>
              <w:szCs w:val="18"/>
            </w:rPr>
            <w:fldChar w:fldCharType="begin"/>
          </w:r>
          <w:r w:rsidRPr="00F56BCD">
            <w:rPr>
              <w:caps/>
              <w:color w:val="808080" w:themeColor="background1" w:themeShade="80"/>
              <w:szCs w:val="18"/>
            </w:rPr>
            <w:instrText xml:space="preserve"> PAGE   \* MERGEFORMAT </w:instrText>
          </w:r>
          <w:r w:rsidRPr="00F56BCD">
            <w:rPr>
              <w:caps/>
              <w:color w:val="808080" w:themeColor="background1" w:themeShade="80"/>
              <w:szCs w:val="18"/>
            </w:rPr>
            <w:fldChar w:fldCharType="separate"/>
          </w:r>
          <w:r w:rsidR="001B0BF6">
            <w:rPr>
              <w:caps/>
              <w:noProof/>
              <w:color w:val="808080" w:themeColor="background1" w:themeShade="80"/>
              <w:szCs w:val="18"/>
            </w:rPr>
            <w:t>1</w:t>
          </w:r>
          <w:r w:rsidRPr="00F56BCD">
            <w:rPr>
              <w:caps/>
              <w:noProof/>
              <w:color w:val="808080" w:themeColor="background1" w:themeShade="80"/>
              <w:szCs w:val="18"/>
            </w:rPr>
            <w:fldChar w:fldCharType="end"/>
          </w:r>
        </w:p>
      </w:tc>
    </w:tr>
  </w:tbl>
  <w:p w14:paraId="45211BED" w14:textId="77777777" w:rsidR="00301460" w:rsidRDefault="0030146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B70CA8" w14:textId="77777777" w:rsidR="00301460" w:rsidRDefault="00301460" w:rsidP="00760C49">
      <w:r>
        <w:separator/>
      </w:r>
    </w:p>
  </w:footnote>
  <w:footnote w:type="continuationSeparator" w:id="0">
    <w:p w14:paraId="4DEAD692" w14:textId="77777777" w:rsidR="00301460" w:rsidRDefault="00301460" w:rsidP="00760C4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B20756" w14:textId="77777777" w:rsidR="00301460" w:rsidRDefault="00301460" w:rsidP="00760C49">
    <w:pPr>
      <w:pStyle w:val="Header"/>
    </w:pPr>
    <w:r>
      <w:rPr>
        <w:noProof/>
      </w:rPr>
      <w:drawing>
        <wp:inline distT="0" distB="0" distL="0" distR="0" wp14:anchorId="26D07497" wp14:editId="2615928F">
          <wp:extent cx="6400800" cy="60642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standard-header-pages2+.png"/>
                  <pic:cNvPicPr/>
                </pic:nvPicPr>
                <pic:blipFill>
                  <a:blip r:embed="rId1">
                    <a:extLst>
                      <a:ext uri="{28A0092B-C50C-407E-A947-70E740481C1C}">
                        <a14:useLocalDpi xmlns:a14="http://schemas.microsoft.com/office/drawing/2010/main" val="0"/>
                      </a:ext>
                    </a:extLst>
                  </a:blip>
                  <a:stretch>
                    <a:fillRect/>
                  </a:stretch>
                </pic:blipFill>
                <pic:spPr>
                  <a:xfrm>
                    <a:off x="0" y="0"/>
                    <a:ext cx="6400800" cy="606425"/>
                  </a:xfrm>
                  <a:prstGeom prst="rect">
                    <a:avLst/>
                  </a:prstGeom>
                </pic:spPr>
              </pic:pic>
            </a:graphicData>
          </a:graphic>
        </wp:inline>
      </w:drawing>
    </w:r>
  </w:p>
  <w:p w14:paraId="788C51C1" w14:textId="77777777" w:rsidR="00301460" w:rsidRPr="00760C49" w:rsidRDefault="00301460">
    <w:pPr>
      <w:pStyle w:val="Header"/>
      <w:rPr>
        <w:rFonts w:asciiTheme="majorHAnsi" w:hAnsiTheme="majorHAnsi"/>
        <w:sz w:val="2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BF438" w14:textId="6D805213" w:rsidR="00301460" w:rsidRDefault="00301460">
    <w:pPr>
      <w:pStyle w:val="Header"/>
    </w:pPr>
    <w:r>
      <w:rPr>
        <w:noProof/>
      </w:rPr>
      <w:drawing>
        <wp:inline distT="0" distB="0" distL="0" distR="0" wp14:anchorId="0AE00F41" wp14:editId="50B5E789">
          <wp:extent cx="6463148" cy="684786"/>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standard-header.png"/>
                  <pic:cNvPicPr/>
                </pic:nvPicPr>
                <pic:blipFill>
                  <a:blip r:embed="rId1">
                    <a:extLst>
                      <a:ext uri="{28A0092B-C50C-407E-A947-70E740481C1C}">
                        <a14:useLocalDpi xmlns:a14="http://schemas.microsoft.com/office/drawing/2010/main" val="0"/>
                      </a:ext>
                    </a:extLst>
                  </a:blip>
                  <a:stretch>
                    <a:fillRect/>
                  </a:stretch>
                </pic:blipFill>
                <pic:spPr>
                  <a:xfrm>
                    <a:off x="0" y="0"/>
                    <a:ext cx="6542713" cy="693216"/>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F7058"/>
    <w:multiLevelType w:val="hybridMultilevel"/>
    <w:tmpl w:val="77FA5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15685D"/>
    <w:multiLevelType w:val="hybridMultilevel"/>
    <w:tmpl w:val="ABFEB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854FEC"/>
    <w:multiLevelType w:val="hybridMultilevel"/>
    <w:tmpl w:val="3CEEE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534948"/>
    <w:multiLevelType w:val="hybridMultilevel"/>
    <w:tmpl w:val="11347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B03B02"/>
    <w:multiLevelType w:val="hybridMultilevel"/>
    <w:tmpl w:val="E692EC4E"/>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2500C2"/>
    <w:multiLevelType w:val="hybridMultilevel"/>
    <w:tmpl w:val="7E9E0D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752A0B"/>
    <w:multiLevelType w:val="hybridMultilevel"/>
    <w:tmpl w:val="3F9CB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B205DA"/>
    <w:multiLevelType w:val="hybridMultilevel"/>
    <w:tmpl w:val="3F086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8C3EB4"/>
    <w:multiLevelType w:val="hybridMultilevel"/>
    <w:tmpl w:val="8A4AA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7B534F3"/>
    <w:multiLevelType w:val="hybridMultilevel"/>
    <w:tmpl w:val="93CA3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3942195"/>
    <w:multiLevelType w:val="hybridMultilevel"/>
    <w:tmpl w:val="05E8D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5FD6C45"/>
    <w:multiLevelType w:val="hybridMultilevel"/>
    <w:tmpl w:val="86423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2EA3F2D"/>
    <w:multiLevelType w:val="hybridMultilevel"/>
    <w:tmpl w:val="E83013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45D51FB"/>
    <w:multiLevelType w:val="hybridMultilevel"/>
    <w:tmpl w:val="688A06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AC82D45"/>
    <w:multiLevelType w:val="hybridMultilevel"/>
    <w:tmpl w:val="DA1E5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D5E53DD"/>
    <w:multiLevelType w:val="hybridMultilevel"/>
    <w:tmpl w:val="5946668E"/>
    <w:lvl w:ilvl="0" w:tplc="C486038C">
      <w:start w:val="1"/>
      <w:numFmt w:val="bullet"/>
      <w:pStyle w:val="PHETBulletBody"/>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F857657"/>
    <w:multiLevelType w:val="hybridMultilevel"/>
    <w:tmpl w:val="95349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6"/>
  </w:num>
  <w:num w:numId="5">
    <w:abstractNumId w:val="13"/>
  </w:num>
  <w:num w:numId="6">
    <w:abstractNumId w:val="4"/>
  </w:num>
  <w:num w:numId="7">
    <w:abstractNumId w:val="12"/>
  </w:num>
  <w:num w:numId="8">
    <w:abstractNumId w:val="3"/>
  </w:num>
  <w:num w:numId="9">
    <w:abstractNumId w:val="11"/>
  </w:num>
  <w:num w:numId="10">
    <w:abstractNumId w:val="9"/>
  </w:num>
  <w:num w:numId="11">
    <w:abstractNumId w:val="2"/>
  </w:num>
  <w:num w:numId="12">
    <w:abstractNumId w:val="16"/>
  </w:num>
  <w:num w:numId="13">
    <w:abstractNumId w:val="7"/>
  </w:num>
  <w:num w:numId="14">
    <w:abstractNumId w:val="10"/>
  </w:num>
  <w:num w:numId="15">
    <w:abstractNumId w:val="14"/>
  </w:num>
  <w:num w:numId="16">
    <w:abstractNumId w:val="8"/>
  </w:num>
  <w:num w:numId="17">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teele dalton">
    <w15:presenceInfo w15:providerId="Windows Live" w15:userId="cba9b314642b97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16F"/>
    <w:rsid w:val="0001109F"/>
    <w:rsid w:val="000447E1"/>
    <w:rsid w:val="000457F6"/>
    <w:rsid w:val="0006292F"/>
    <w:rsid w:val="00073412"/>
    <w:rsid w:val="00083303"/>
    <w:rsid w:val="000930C4"/>
    <w:rsid w:val="000A57F7"/>
    <w:rsid w:val="000A610A"/>
    <w:rsid w:val="000C1988"/>
    <w:rsid w:val="000F3F53"/>
    <w:rsid w:val="0010705E"/>
    <w:rsid w:val="00123A7A"/>
    <w:rsid w:val="001309B1"/>
    <w:rsid w:val="00144AD9"/>
    <w:rsid w:val="00146FF0"/>
    <w:rsid w:val="0014751A"/>
    <w:rsid w:val="001715F0"/>
    <w:rsid w:val="0017788C"/>
    <w:rsid w:val="001778A9"/>
    <w:rsid w:val="00190D55"/>
    <w:rsid w:val="001A6F3F"/>
    <w:rsid w:val="001B0BF6"/>
    <w:rsid w:val="001C4668"/>
    <w:rsid w:val="001C5309"/>
    <w:rsid w:val="001F0B90"/>
    <w:rsid w:val="001F0BC0"/>
    <w:rsid w:val="002112EA"/>
    <w:rsid w:val="00225273"/>
    <w:rsid w:val="002336B5"/>
    <w:rsid w:val="00246906"/>
    <w:rsid w:val="0026415D"/>
    <w:rsid w:val="00265AE4"/>
    <w:rsid w:val="00270DA1"/>
    <w:rsid w:val="00282736"/>
    <w:rsid w:val="002A5892"/>
    <w:rsid w:val="002B6A17"/>
    <w:rsid w:val="002D6A41"/>
    <w:rsid w:val="002F53E1"/>
    <w:rsid w:val="00301460"/>
    <w:rsid w:val="003228A4"/>
    <w:rsid w:val="00343CA4"/>
    <w:rsid w:val="003B1F56"/>
    <w:rsid w:val="003D1301"/>
    <w:rsid w:val="003D2591"/>
    <w:rsid w:val="003D5D8C"/>
    <w:rsid w:val="003F2B0C"/>
    <w:rsid w:val="004119D1"/>
    <w:rsid w:val="00432D7A"/>
    <w:rsid w:val="0045267A"/>
    <w:rsid w:val="004726C9"/>
    <w:rsid w:val="004737B2"/>
    <w:rsid w:val="00490908"/>
    <w:rsid w:val="004A3154"/>
    <w:rsid w:val="004B3DF7"/>
    <w:rsid w:val="004C5517"/>
    <w:rsid w:val="004E6D78"/>
    <w:rsid w:val="00515578"/>
    <w:rsid w:val="00520137"/>
    <w:rsid w:val="00527FA1"/>
    <w:rsid w:val="00535514"/>
    <w:rsid w:val="0056475E"/>
    <w:rsid w:val="00570F38"/>
    <w:rsid w:val="00592CC1"/>
    <w:rsid w:val="005971AC"/>
    <w:rsid w:val="005A182B"/>
    <w:rsid w:val="005A7CD3"/>
    <w:rsid w:val="005B745E"/>
    <w:rsid w:val="005C1006"/>
    <w:rsid w:val="005C4EC2"/>
    <w:rsid w:val="005D129E"/>
    <w:rsid w:val="005D7E34"/>
    <w:rsid w:val="0060381A"/>
    <w:rsid w:val="0062765B"/>
    <w:rsid w:val="0064626B"/>
    <w:rsid w:val="00652482"/>
    <w:rsid w:val="00680213"/>
    <w:rsid w:val="00685D22"/>
    <w:rsid w:val="006B6C01"/>
    <w:rsid w:val="006D2016"/>
    <w:rsid w:val="006D2700"/>
    <w:rsid w:val="006E7146"/>
    <w:rsid w:val="00700B14"/>
    <w:rsid w:val="00716904"/>
    <w:rsid w:val="00741C43"/>
    <w:rsid w:val="00760C49"/>
    <w:rsid w:val="007648E5"/>
    <w:rsid w:val="00766685"/>
    <w:rsid w:val="0077323F"/>
    <w:rsid w:val="00775F6D"/>
    <w:rsid w:val="0077600E"/>
    <w:rsid w:val="00790BDF"/>
    <w:rsid w:val="00791E97"/>
    <w:rsid w:val="007A5F54"/>
    <w:rsid w:val="007E5302"/>
    <w:rsid w:val="007E643A"/>
    <w:rsid w:val="007E6AFA"/>
    <w:rsid w:val="007F155E"/>
    <w:rsid w:val="007F2979"/>
    <w:rsid w:val="00800547"/>
    <w:rsid w:val="00811B6A"/>
    <w:rsid w:val="00820954"/>
    <w:rsid w:val="00877B7C"/>
    <w:rsid w:val="0088746B"/>
    <w:rsid w:val="00894BAC"/>
    <w:rsid w:val="00896528"/>
    <w:rsid w:val="008B794C"/>
    <w:rsid w:val="008C7391"/>
    <w:rsid w:val="008D7DF7"/>
    <w:rsid w:val="008F1AA5"/>
    <w:rsid w:val="00907E90"/>
    <w:rsid w:val="00916606"/>
    <w:rsid w:val="00952C19"/>
    <w:rsid w:val="00953123"/>
    <w:rsid w:val="00957C1D"/>
    <w:rsid w:val="00965505"/>
    <w:rsid w:val="00977C7E"/>
    <w:rsid w:val="00980CF4"/>
    <w:rsid w:val="009941FB"/>
    <w:rsid w:val="009A0166"/>
    <w:rsid w:val="009C616F"/>
    <w:rsid w:val="009D24D4"/>
    <w:rsid w:val="009E3503"/>
    <w:rsid w:val="009F4386"/>
    <w:rsid w:val="009F6ABD"/>
    <w:rsid w:val="00A07BB8"/>
    <w:rsid w:val="00A31C86"/>
    <w:rsid w:val="00A56E44"/>
    <w:rsid w:val="00A77588"/>
    <w:rsid w:val="00AA7529"/>
    <w:rsid w:val="00AB222D"/>
    <w:rsid w:val="00AD1CF0"/>
    <w:rsid w:val="00AD5F70"/>
    <w:rsid w:val="00AD686E"/>
    <w:rsid w:val="00AF3E51"/>
    <w:rsid w:val="00AF57F3"/>
    <w:rsid w:val="00B12B96"/>
    <w:rsid w:val="00B23195"/>
    <w:rsid w:val="00B23334"/>
    <w:rsid w:val="00B57C14"/>
    <w:rsid w:val="00B62932"/>
    <w:rsid w:val="00B82EFB"/>
    <w:rsid w:val="00BC471E"/>
    <w:rsid w:val="00BF6911"/>
    <w:rsid w:val="00C06719"/>
    <w:rsid w:val="00C06C91"/>
    <w:rsid w:val="00C24F9C"/>
    <w:rsid w:val="00C25876"/>
    <w:rsid w:val="00C341E9"/>
    <w:rsid w:val="00C36143"/>
    <w:rsid w:val="00C51367"/>
    <w:rsid w:val="00C54F6F"/>
    <w:rsid w:val="00C80BD6"/>
    <w:rsid w:val="00C83DC6"/>
    <w:rsid w:val="00C873AE"/>
    <w:rsid w:val="00C935F5"/>
    <w:rsid w:val="00CD3E8B"/>
    <w:rsid w:val="00CD7897"/>
    <w:rsid w:val="00D10D4C"/>
    <w:rsid w:val="00D11ED7"/>
    <w:rsid w:val="00D159E2"/>
    <w:rsid w:val="00D15ACA"/>
    <w:rsid w:val="00D24711"/>
    <w:rsid w:val="00D32E2F"/>
    <w:rsid w:val="00D42536"/>
    <w:rsid w:val="00D57B64"/>
    <w:rsid w:val="00D70682"/>
    <w:rsid w:val="00D81695"/>
    <w:rsid w:val="00D9207C"/>
    <w:rsid w:val="00DB7FCD"/>
    <w:rsid w:val="00DD6D76"/>
    <w:rsid w:val="00DE1B63"/>
    <w:rsid w:val="00DE2F9D"/>
    <w:rsid w:val="00DE6DFC"/>
    <w:rsid w:val="00DE6F95"/>
    <w:rsid w:val="00E027FA"/>
    <w:rsid w:val="00E038A3"/>
    <w:rsid w:val="00E128BA"/>
    <w:rsid w:val="00E3741D"/>
    <w:rsid w:val="00E50704"/>
    <w:rsid w:val="00E516F7"/>
    <w:rsid w:val="00E6452E"/>
    <w:rsid w:val="00E857A5"/>
    <w:rsid w:val="00E866D1"/>
    <w:rsid w:val="00E877CE"/>
    <w:rsid w:val="00EE0A0F"/>
    <w:rsid w:val="00EE0D7A"/>
    <w:rsid w:val="00EF544B"/>
    <w:rsid w:val="00F1619C"/>
    <w:rsid w:val="00F17052"/>
    <w:rsid w:val="00F40F3C"/>
    <w:rsid w:val="00F53F50"/>
    <w:rsid w:val="00F66C88"/>
    <w:rsid w:val="00F6716C"/>
    <w:rsid w:val="00F85A2E"/>
    <w:rsid w:val="00F86691"/>
    <w:rsid w:val="00F95872"/>
    <w:rsid w:val="00F9623C"/>
    <w:rsid w:val="00FA28E1"/>
    <w:rsid w:val="00FE17B7"/>
    <w:rsid w:val="00FE4638"/>
    <w:rsid w:val="00FF4F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3C051E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1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61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C616F"/>
    <w:pPr>
      <w:ind w:left="720"/>
      <w:contextualSpacing/>
    </w:pPr>
  </w:style>
  <w:style w:type="paragraph" w:styleId="BalloonText">
    <w:name w:val="Balloon Text"/>
    <w:basedOn w:val="Normal"/>
    <w:link w:val="BalloonTextChar"/>
    <w:uiPriority w:val="99"/>
    <w:semiHidden/>
    <w:unhideWhenUsed/>
    <w:rsid w:val="006D27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2700"/>
    <w:rPr>
      <w:rFonts w:ascii="Lucida Grande" w:hAnsi="Lucida Grande" w:cs="Lucida Grande"/>
      <w:sz w:val="18"/>
      <w:szCs w:val="18"/>
    </w:rPr>
  </w:style>
  <w:style w:type="character" w:styleId="Hyperlink">
    <w:name w:val="Hyperlink"/>
    <w:basedOn w:val="DefaultParagraphFont"/>
    <w:uiPriority w:val="99"/>
    <w:unhideWhenUsed/>
    <w:rsid w:val="004C5517"/>
    <w:rPr>
      <w:color w:val="0000FF" w:themeColor="hyperlink"/>
      <w:u w:val="single"/>
    </w:rPr>
  </w:style>
  <w:style w:type="character" w:styleId="CommentReference">
    <w:name w:val="annotation reference"/>
    <w:basedOn w:val="DefaultParagraphFont"/>
    <w:uiPriority w:val="99"/>
    <w:semiHidden/>
    <w:unhideWhenUsed/>
    <w:rsid w:val="0026415D"/>
    <w:rPr>
      <w:sz w:val="18"/>
      <w:szCs w:val="18"/>
    </w:rPr>
  </w:style>
  <w:style w:type="paragraph" w:styleId="CommentText">
    <w:name w:val="annotation text"/>
    <w:basedOn w:val="Normal"/>
    <w:link w:val="CommentTextChar"/>
    <w:uiPriority w:val="99"/>
    <w:semiHidden/>
    <w:unhideWhenUsed/>
    <w:rsid w:val="0026415D"/>
  </w:style>
  <w:style w:type="character" w:customStyle="1" w:styleId="CommentTextChar">
    <w:name w:val="Comment Text Char"/>
    <w:basedOn w:val="DefaultParagraphFont"/>
    <w:link w:val="CommentText"/>
    <w:uiPriority w:val="99"/>
    <w:semiHidden/>
    <w:rsid w:val="0026415D"/>
  </w:style>
  <w:style w:type="paragraph" w:styleId="CommentSubject">
    <w:name w:val="annotation subject"/>
    <w:basedOn w:val="CommentText"/>
    <w:next w:val="CommentText"/>
    <w:link w:val="CommentSubjectChar"/>
    <w:uiPriority w:val="99"/>
    <w:semiHidden/>
    <w:unhideWhenUsed/>
    <w:rsid w:val="0026415D"/>
    <w:rPr>
      <w:b/>
      <w:bCs/>
      <w:sz w:val="20"/>
      <w:szCs w:val="20"/>
    </w:rPr>
  </w:style>
  <w:style w:type="character" w:customStyle="1" w:styleId="CommentSubjectChar">
    <w:name w:val="Comment Subject Char"/>
    <w:basedOn w:val="CommentTextChar"/>
    <w:link w:val="CommentSubject"/>
    <w:uiPriority w:val="99"/>
    <w:semiHidden/>
    <w:rsid w:val="0026415D"/>
    <w:rPr>
      <w:b/>
      <w:bCs/>
      <w:sz w:val="20"/>
      <w:szCs w:val="20"/>
    </w:rPr>
  </w:style>
  <w:style w:type="paragraph" w:styleId="Header">
    <w:name w:val="header"/>
    <w:basedOn w:val="Normal"/>
    <w:link w:val="HeaderChar"/>
    <w:uiPriority w:val="99"/>
    <w:unhideWhenUsed/>
    <w:rsid w:val="00760C49"/>
    <w:pPr>
      <w:tabs>
        <w:tab w:val="center" w:pos="4680"/>
        <w:tab w:val="right" w:pos="9360"/>
      </w:tabs>
    </w:pPr>
  </w:style>
  <w:style w:type="character" w:customStyle="1" w:styleId="HeaderChar">
    <w:name w:val="Header Char"/>
    <w:basedOn w:val="DefaultParagraphFont"/>
    <w:link w:val="Header"/>
    <w:uiPriority w:val="99"/>
    <w:rsid w:val="00760C49"/>
  </w:style>
  <w:style w:type="paragraph" w:styleId="Footer">
    <w:name w:val="footer"/>
    <w:basedOn w:val="Normal"/>
    <w:link w:val="FooterChar"/>
    <w:uiPriority w:val="99"/>
    <w:unhideWhenUsed/>
    <w:rsid w:val="00760C49"/>
    <w:pPr>
      <w:tabs>
        <w:tab w:val="center" w:pos="4680"/>
        <w:tab w:val="right" w:pos="9360"/>
      </w:tabs>
    </w:pPr>
  </w:style>
  <w:style w:type="character" w:customStyle="1" w:styleId="FooterChar">
    <w:name w:val="Footer Char"/>
    <w:basedOn w:val="DefaultParagraphFont"/>
    <w:link w:val="Footer"/>
    <w:uiPriority w:val="99"/>
    <w:rsid w:val="00760C49"/>
  </w:style>
  <w:style w:type="paragraph" w:customStyle="1" w:styleId="PHETBulletBody">
    <w:name w:val="PHET Bullet Body"/>
    <w:basedOn w:val="Normal"/>
    <w:qFormat/>
    <w:rsid w:val="00301460"/>
    <w:pPr>
      <w:numPr>
        <w:numId w:val="17"/>
      </w:numPr>
      <w:tabs>
        <w:tab w:val="left" w:pos="450"/>
      </w:tabs>
      <w:ind w:left="180" w:hanging="90"/>
    </w:pPr>
    <w:rPr>
      <w:rFonts w:eastAsia="Cambria" w:cs="Aria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1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61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C616F"/>
    <w:pPr>
      <w:ind w:left="720"/>
      <w:contextualSpacing/>
    </w:pPr>
  </w:style>
  <w:style w:type="paragraph" w:styleId="BalloonText">
    <w:name w:val="Balloon Text"/>
    <w:basedOn w:val="Normal"/>
    <w:link w:val="BalloonTextChar"/>
    <w:uiPriority w:val="99"/>
    <w:semiHidden/>
    <w:unhideWhenUsed/>
    <w:rsid w:val="006D27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2700"/>
    <w:rPr>
      <w:rFonts w:ascii="Lucida Grande" w:hAnsi="Lucida Grande" w:cs="Lucida Grande"/>
      <w:sz w:val="18"/>
      <w:szCs w:val="18"/>
    </w:rPr>
  </w:style>
  <w:style w:type="character" w:styleId="Hyperlink">
    <w:name w:val="Hyperlink"/>
    <w:basedOn w:val="DefaultParagraphFont"/>
    <w:uiPriority w:val="99"/>
    <w:unhideWhenUsed/>
    <w:rsid w:val="004C5517"/>
    <w:rPr>
      <w:color w:val="0000FF" w:themeColor="hyperlink"/>
      <w:u w:val="single"/>
    </w:rPr>
  </w:style>
  <w:style w:type="character" w:styleId="CommentReference">
    <w:name w:val="annotation reference"/>
    <w:basedOn w:val="DefaultParagraphFont"/>
    <w:uiPriority w:val="99"/>
    <w:semiHidden/>
    <w:unhideWhenUsed/>
    <w:rsid w:val="0026415D"/>
    <w:rPr>
      <w:sz w:val="18"/>
      <w:szCs w:val="18"/>
    </w:rPr>
  </w:style>
  <w:style w:type="paragraph" w:styleId="CommentText">
    <w:name w:val="annotation text"/>
    <w:basedOn w:val="Normal"/>
    <w:link w:val="CommentTextChar"/>
    <w:uiPriority w:val="99"/>
    <w:semiHidden/>
    <w:unhideWhenUsed/>
    <w:rsid w:val="0026415D"/>
  </w:style>
  <w:style w:type="character" w:customStyle="1" w:styleId="CommentTextChar">
    <w:name w:val="Comment Text Char"/>
    <w:basedOn w:val="DefaultParagraphFont"/>
    <w:link w:val="CommentText"/>
    <w:uiPriority w:val="99"/>
    <w:semiHidden/>
    <w:rsid w:val="0026415D"/>
  </w:style>
  <w:style w:type="paragraph" w:styleId="CommentSubject">
    <w:name w:val="annotation subject"/>
    <w:basedOn w:val="CommentText"/>
    <w:next w:val="CommentText"/>
    <w:link w:val="CommentSubjectChar"/>
    <w:uiPriority w:val="99"/>
    <w:semiHidden/>
    <w:unhideWhenUsed/>
    <w:rsid w:val="0026415D"/>
    <w:rPr>
      <w:b/>
      <w:bCs/>
      <w:sz w:val="20"/>
      <w:szCs w:val="20"/>
    </w:rPr>
  </w:style>
  <w:style w:type="character" w:customStyle="1" w:styleId="CommentSubjectChar">
    <w:name w:val="Comment Subject Char"/>
    <w:basedOn w:val="CommentTextChar"/>
    <w:link w:val="CommentSubject"/>
    <w:uiPriority w:val="99"/>
    <w:semiHidden/>
    <w:rsid w:val="0026415D"/>
    <w:rPr>
      <w:b/>
      <w:bCs/>
      <w:sz w:val="20"/>
      <w:szCs w:val="20"/>
    </w:rPr>
  </w:style>
  <w:style w:type="paragraph" w:styleId="Header">
    <w:name w:val="header"/>
    <w:basedOn w:val="Normal"/>
    <w:link w:val="HeaderChar"/>
    <w:uiPriority w:val="99"/>
    <w:unhideWhenUsed/>
    <w:rsid w:val="00760C49"/>
    <w:pPr>
      <w:tabs>
        <w:tab w:val="center" w:pos="4680"/>
        <w:tab w:val="right" w:pos="9360"/>
      </w:tabs>
    </w:pPr>
  </w:style>
  <w:style w:type="character" w:customStyle="1" w:styleId="HeaderChar">
    <w:name w:val="Header Char"/>
    <w:basedOn w:val="DefaultParagraphFont"/>
    <w:link w:val="Header"/>
    <w:uiPriority w:val="99"/>
    <w:rsid w:val="00760C49"/>
  </w:style>
  <w:style w:type="paragraph" w:styleId="Footer">
    <w:name w:val="footer"/>
    <w:basedOn w:val="Normal"/>
    <w:link w:val="FooterChar"/>
    <w:uiPriority w:val="99"/>
    <w:unhideWhenUsed/>
    <w:rsid w:val="00760C49"/>
    <w:pPr>
      <w:tabs>
        <w:tab w:val="center" w:pos="4680"/>
        <w:tab w:val="right" w:pos="9360"/>
      </w:tabs>
    </w:pPr>
  </w:style>
  <w:style w:type="character" w:customStyle="1" w:styleId="FooterChar">
    <w:name w:val="Footer Char"/>
    <w:basedOn w:val="DefaultParagraphFont"/>
    <w:link w:val="Footer"/>
    <w:uiPriority w:val="99"/>
    <w:rsid w:val="00760C49"/>
  </w:style>
  <w:style w:type="paragraph" w:customStyle="1" w:styleId="PHETBulletBody">
    <w:name w:val="PHET Bullet Body"/>
    <w:basedOn w:val="Normal"/>
    <w:qFormat/>
    <w:rsid w:val="00301460"/>
    <w:pPr>
      <w:numPr>
        <w:numId w:val="17"/>
      </w:numPr>
      <w:tabs>
        <w:tab w:val="left" w:pos="450"/>
      </w:tabs>
      <w:ind w:left="180" w:hanging="90"/>
    </w:pPr>
    <w:rPr>
      <w:rFonts w:eastAsia="Cambria"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4.0/" TargetMode="External"/><Relationship Id="rId20" Type="http://schemas.openxmlformats.org/officeDocument/2006/relationships/footer" Target="footer1.xml"/><Relationship Id="rId21" Type="http://schemas.openxmlformats.org/officeDocument/2006/relationships/header" Target="header2.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glossaryDocument" Target="glossary/document.xml"/><Relationship Id="rId25" Type="http://schemas.openxmlformats.org/officeDocument/2006/relationships/theme" Target="theme/theme1.xml"/><Relationship Id="rId26" Type="http://schemas.microsoft.com/office/2011/relationships/people" Target="people.xml"/><Relationship Id="rId27" Type="http://schemas.microsoft.com/office/2011/relationships/commentsExtended" Target="commentsExtended.xml"/><Relationship Id="rId10" Type="http://schemas.openxmlformats.org/officeDocument/2006/relationships/hyperlink" Target="http://phet.colorado.edu/en/simulation/reversible-reactions"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644259B16754016B85F9B872A41B402"/>
        <w:category>
          <w:name w:val="General"/>
          <w:gallery w:val="placeholder"/>
        </w:category>
        <w:types>
          <w:type w:val="bbPlcHdr"/>
        </w:types>
        <w:behaviors>
          <w:behavior w:val="content"/>
        </w:behaviors>
        <w:guid w:val="{0E4993AE-561F-4128-94E3-A45A99712FA9}"/>
      </w:docPartPr>
      <w:docPartBody>
        <w:p w:rsidR="00466CE3" w:rsidRDefault="00BB30D2" w:rsidP="00BB30D2">
          <w:pPr>
            <w:pStyle w:val="4644259B16754016B85F9B872A41B402"/>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altName w:val="Times New Roman"/>
    <w:panose1 w:val="020B0600040502020204"/>
    <w:charset w:val="00"/>
    <w:family w:val="auto"/>
    <w:pitch w:val="variable"/>
    <w:sig w:usb0="E1000AEF" w:usb1="5000A1FF" w:usb2="00000000" w:usb3="00000000" w:csb0="000001BF" w:csb1="00000000"/>
  </w:font>
  <w:font w:name="Arial">
    <w:altName w:val="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0D2"/>
    <w:rsid w:val="00466CE3"/>
    <w:rsid w:val="004C401A"/>
    <w:rsid w:val="009469A3"/>
    <w:rsid w:val="00AC3F85"/>
    <w:rsid w:val="00BB30D2"/>
    <w:rsid w:val="00C872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B30D2"/>
    <w:rPr>
      <w:color w:val="808080"/>
    </w:rPr>
  </w:style>
  <w:style w:type="paragraph" w:customStyle="1" w:styleId="95E85B7BEDD243C1B559D67AA6F9A453">
    <w:name w:val="95E85B7BEDD243C1B559D67AA6F9A453"/>
    <w:rsid w:val="00BB30D2"/>
  </w:style>
  <w:style w:type="paragraph" w:customStyle="1" w:styleId="4644259B16754016B85F9B872A41B402">
    <w:name w:val="4644259B16754016B85F9B872A41B402"/>
    <w:rsid w:val="00BB30D2"/>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B30D2"/>
    <w:rPr>
      <w:color w:val="808080"/>
    </w:rPr>
  </w:style>
  <w:style w:type="paragraph" w:customStyle="1" w:styleId="95E85B7BEDD243C1B559D67AA6F9A453">
    <w:name w:val="95E85B7BEDD243C1B559D67AA6F9A453"/>
    <w:rsid w:val="00BB30D2"/>
  </w:style>
  <w:style w:type="paragraph" w:customStyle="1" w:styleId="4644259B16754016B85F9B872A41B402">
    <w:name w:val="4644259B16754016B85F9B872A41B402"/>
    <w:rsid w:val="00BB30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3CFFE2-4E53-1B45-BA4B-B7B14D5D8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Pages>
  <Words>1333</Words>
  <Characters>7603</Characters>
  <Application>Microsoft Macintosh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Entropy, microstates, and probability</dc:creator>
  <cp:keywords/>
  <dc:description/>
  <cp:lastModifiedBy>Yuen-ying Carpenter</cp:lastModifiedBy>
  <cp:revision>8</cp:revision>
  <dcterms:created xsi:type="dcterms:W3CDTF">2014-06-15T23:27:00Z</dcterms:created>
  <dcterms:modified xsi:type="dcterms:W3CDTF">2014-11-12T00:02:00Z</dcterms:modified>
</cp:coreProperties>
</file>